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0A2733"/>
        </w:rPr>
        <w:t>CRA Vulnerability Advisory Template</w:t>
      </w:r>
    </w:p>
    <w:p>
      <w:r>
        <w:rPr>
          <w:color w:val="667075"/>
          <w:sz w:val="18"/>
        </w:rPr>
        <w:t>Version 1.0 · Updated 2026-07-03 · Free template by Orbiq · orbiqhq.com/templates/cra-vulnerability-advisory-template</w:t>
      </w:r>
    </w:p>
    <w:tbl>
      <w:tblPr>
        <w:tblW w:type="auto" w:w="0"/>
        <w:tblLook w:firstColumn="1" w:firstRow="1" w:lastColumn="0" w:lastRow="0" w:noHBand="0" w:noVBand="1" w:val="04A0"/>
      </w:tblPr>
      <w:tblGrid>
        <w:gridCol w:w="8640"/>
      </w:tblGrid>
      <w:tr>
        <w:trPr>
          <w:trHeight w:val="85"/>
        </w:trPr>
        <w:tc>
          <w:tcPr>
            <w:tcW w:type="dxa" w:w="8640"/>
            <w:shd w:val="clear" w:fill="7B7D63"/>
          </w:tcPr>
          <w:p>
            <w:r/>
          </w:p>
        </w:tc>
      </w:tr>
    </w:tbl>
    <w:p/>
    <w:p>
      <w:r>
        <w:t>Public security-advisory template for manufacturers of products with digital elements under Regulation (EU) 2024/2847 (Cyber Resilience Act), Annex I Part II. Publish once the security update is available. Separate regulatory clock: actively exploited vulnerabilities must additionally be reported via ENISA's single reporting platform under Article 14 (24h early warning / 72h notification / 14-day final report), applicable from 11 September 2026.</w:t>
      </w:r>
    </w:p>
    <w:p>
      <w:pPr>
        <w:pStyle w:val="Heading2"/>
      </w:pPr>
      <w:r>
        <w:rPr>
          <w:color w:val="0A2733"/>
        </w:rPr>
        <w:t>Advisory header block</w:t>
      </w:r>
    </w:p>
    <w:p>
      <w:r>
        <w:t>Complete every field before publication. Advisory ID format: {{org_prefix}}-SA-{{year}}-{{sequence}}.</w:t>
      </w:r>
    </w:p>
    <w:tbl>
      <w:tblPr>
        <w:tblStyle w:val="TableGrid"/>
        <w:tblW w:type="auto" w:w="0"/>
        <w:tblLook w:firstColumn="1" w:firstRow="1" w:lastColumn="0" w:lastRow="0" w:noHBand="0" w:noVBand="1" w:val="04A0"/>
      </w:tblPr>
      <w:tblGrid>
        <w:gridCol w:w="2880"/>
        <w:gridCol w:w="2880"/>
        <w:gridCol w:w="2880"/>
      </w:tblGrid>
      <w:tr>
        <w:tc>
          <w:tcPr>
            <w:tcW w:type="dxa" w:w="2880"/>
            <w:shd w:val="clear" w:fill="0A2733"/>
          </w:tcPr>
          <w:p>
            <w:r>
              <w:rPr>
                <w:b/>
                <w:color w:val="FFFFFF"/>
                <w:sz w:val="20"/>
              </w:rPr>
              <w:t>Field</w:t>
            </w:r>
          </w:p>
        </w:tc>
        <w:tc>
          <w:tcPr>
            <w:tcW w:type="dxa" w:w="2880"/>
            <w:shd w:val="clear" w:fill="0A2733"/>
          </w:tcPr>
          <w:p>
            <w:r>
              <w:rPr>
                <w:b/>
                <w:color w:val="FFFFFF"/>
                <w:sz w:val="20"/>
              </w:rPr>
              <w:t>Value</w:t>
            </w:r>
          </w:p>
        </w:tc>
        <w:tc>
          <w:tcPr>
            <w:tcW w:type="dxa" w:w="2880"/>
            <w:shd w:val="clear" w:fill="0A2733"/>
          </w:tcPr>
          <w:p>
            <w:r>
              <w:rPr>
                <w:b/>
                <w:color w:val="FFFFFF"/>
                <w:sz w:val="20"/>
              </w:rPr>
              <w:t>Guidance</w:t>
            </w:r>
          </w:p>
        </w:tc>
      </w:tr>
      <w:tr>
        <w:tc>
          <w:tcPr>
            <w:tcW w:type="dxa" w:w="2880"/>
          </w:tcPr>
          <w:p>
            <w:r>
              <w:rPr>
                <w:sz w:val="20"/>
              </w:rPr>
              <w:t>Advisory title</w:t>
            </w:r>
          </w:p>
        </w:tc>
        <w:tc>
          <w:tcPr>
            <w:tcW w:type="dxa" w:w="2880"/>
          </w:tcPr>
          <w:p>
            <w:r>
              <w:rPr>
                <w:i/>
                <w:sz w:val="20"/>
              </w:rPr>
              <w:t>{{advisory_title}}</w:t>
            </w:r>
          </w:p>
        </w:tc>
        <w:tc>
          <w:tcPr>
            <w:tcW w:type="dxa" w:w="2880"/>
          </w:tcPr>
          <w:p>
            <w:r>
              <w:rPr>
                <w:sz w:val="20"/>
              </w:rPr>
              <w:t>One line: &lt;Product&gt;: &lt;flaw class&gt; in &lt;component&gt; (&lt;CVE ID&gt;)</w:t>
            </w:r>
          </w:p>
        </w:tc>
      </w:tr>
      <w:tr>
        <w:tc>
          <w:tcPr>
            <w:tcW w:type="dxa" w:w="2880"/>
          </w:tcPr>
          <w:p>
            <w:r>
              <w:rPr>
                <w:sz w:val="20"/>
              </w:rPr>
              <w:t>Advisory ID</w:t>
            </w:r>
          </w:p>
        </w:tc>
        <w:tc>
          <w:tcPr>
            <w:tcW w:type="dxa" w:w="2880"/>
          </w:tcPr>
          <w:p>
            <w:r>
              <w:rPr>
                <w:i/>
                <w:sz w:val="20"/>
              </w:rPr>
              <w:t>{{advisory_id}}</w:t>
            </w:r>
          </w:p>
        </w:tc>
        <w:tc>
          <w:tcPr>
            <w:tcW w:type="dxa" w:w="2880"/>
          </w:tcPr>
          <w:p>
            <w:r>
              <w:rPr>
                <w:sz w:val="20"/>
              </w:rPr>
              <w:t>Stable, sequential, never reused</w:t>
            </w:r>
          </w:p>
        </w:tc>
      </w:tr>
      <w:tr>
        <w:tc>
          <w:tcPr>
            <w:tcW w:type="dxa" w:w="2880"/>
          </w:tcPr>
          <w:p>
            <w:r>
              <w:rPr>
                <w:sz w:val="20"/>
              </w:rPr>
              <w:t>CVE ID</w:t>
            </w:r>
          </w:p>
        </w:tc>
        <w:tc>
          <w:tcPr>
            <w:tcW w:type="dxa" w:w="2880"/>
          </w:tcPr>
          <w:p>
            <w:r>
              <w:rPr>
                <w:i/>
                <w:sz w:val="20"/>
              </w:rPr>
              <w:t>{{cve_id}}</w:t>
            </w:r>
          </w:p>
        </w:tc>
        <w:tc>
          <w:tcPr>
            <w:tcW w:type="dxa" w:w="2880"/>
          </w:tcPr>
          <w:p>
            <w:r>
              <w:rPr>
                <w:sz w:val="20"/>
              </w:rPr>
              <w:t>CVE-YYYY-NNNNN, or 'pending'</w:t>
            </w:r>
          </w:p>
        </w:tc>
      </w:tr>
      <w:tr>
        <w:tc>
          <w:tcPr>
            <w:tcW w:type="dxa" w:w="2880"/>
          </w:tcPr>
          <w:p>
            <w:r>
              <w:rPr>
                <w:sz w:val="20"/>
              </w:rPr>
              <w:t>EUVD ID</w:t>
            </w:r>
          </w:p>
        </w:tc>
        <w:tc>
          <w:tcPr>
            <w:tcW w:type="dxa" w:w="2880"/>
          </w:tcPr>
          <w:p>
            <w:r>
              <w:rPr>
                <w:i/>
                <w:sz w:val="20"/>
              </w:rPr>
              <w:t>{{euvd_id}}</w:t>
            </w:r>
          </w:p>
        </w:tc>
        <w:tc>
          <w:tcPr>
            <w:tcW w:type="dxa" w:w="2880"/>
          </w:tcPr>
          <w:p>
            <w:r>
              <w:rPr>
                <w:sz w:val="20"/>
              </w:rPr>
              <w:t>EUVD-YYYY-NNNNN (ENISA EU Vulnerability Database)</w:t>
            </w:r>
          </w:p>
        </w:tc>
      </w:tr>
      <w:tr>
        <w:tc>
          <w:tcPr>
            <w:tcW w:type="dxa" w:w="2880"/>
          </w:tcPr>
          <w:p>
            <w:r>
              <w:rPr>
                <w:sz w:val="20"/>
              </w:rPr>
              <w:t>Severity</w:t>
            </w:r>
          </w:p>
        </w:tc>
        <w:tc>
          <w:tcPr>
            <w:tcW w:type="dxa" w:w="2880"/>
          </w:tcPr>
          <w:p>
            <w:r>
              <w:rPr>
                <w:i/>
                <w:sz w:val="20"/>
              </w:rPr>
              <w:t>{{severity}} ({{cvss_base_score}})</w:t>
            </w:r>
          </w:p>
        </w:tc>
        <w:tc>
          <w:tcPr>
            <w:tcW w:type="dxa" w:w="2880"/>
          </w:tcPr>
          <w:p>
            <w:r>
              <w:rPr>
                <w:sz w:val="20"/>
              </w:rPr>
              <w:t>none 0.0 / low 0.1-3.9 / medium 4.0-6.9 / high 7.0-8.9 / critical 9.0-10.0 (CVSS v4.0)</w:t>
            </w:r>
          </w:p>
        </w:tc>
      </w:tr>
      <w:tr>
        <w:tc>
          <w:tcPr>
            <w:tcW w:type="dxa" w:w="2880"/>
          </w:tcPr>
          <w:p>
            <w:r>
              <w:rPr>
                <w:sz w:val="20"/>
              </w:rPr>
              <w:t>CVSS v4.0 vector</w:t>
            </w:r>
          </w:p>
        </w:tc>
        <w:tc>
          <w:tcPr>
            <w:tcW w:type="dxa" w:w="2880"/>
          </w:tcPr>
          <w:p>
            <w:r>
              <w:rPr>
                <w:i/>
                <w:sz w:val="20"/>
              </w:rPr>
              <w:t>{{cvss_vector}}</w:t>
            </w:r>
          </w:p>
        </w:tc>
        <w:tc>
          <w:tcPr>
            <w:tcW w:type="dxa" w:w="2880"/>
          </w:tcPr>
          <w:p>
            <w:r>
              <w:rPr>
                <w:sz w:val="20"/>
              </w:rPr>
              <w:t>Full vector string, not just the score</w:t>
            </w:r>
          </w:p>
        </w:tc>
      </w:tr>
      <w:tr>
        <w:tc>
          <w:tcPr>
            <w:tcW w:type="dxa" w:w="2880"/>
          </w:tcPr>
          <w:p>
            <w:r>
              <w:rPr>
                <w:sz w:val="20"/>
              </w:rPr>
              <w:t>Exploitation status</w:t>
            </w:r>
          </w:p>
        </w:tc>
        <w:tc>
          <w:tcPr>
            <w:tcW w:type="dxa" w:w="2880"/>
          </w:tcPr>
          <w:p>
            <w:r>
              <w:rPr>
                <w:i/>
                <w:sz w:val="20"/>
              </w:rPr>
              <w:t>{{exploitation_status}}</w:t>
            </w:r>
          </w:p>
        </w:tc>
        <w:tc>
          <w:tcPr>
            <w:tcW w:type="dxa" w:w="2880"/>
          </w:tcPr>
          <w:p>
            <w:r>
              <w:rPr>
                <w:sz w:val="20"/>
              </w:rPr>
              <w:t>none-known | poc-published | exploited-in-the-wild (the latter triggers CRA Art. 14 reporting)</w:t>
            </w:r>
          </w:p>
        </w:tc>
      </w:tr>
      <w:tr>
        <w:tc>
          <w:tcPr>
            <w:tcW w:type="dxa" w:w="2880"/>
          </w:tcPr>
          <w:p>
            <w:r>
              <w:rPr>
                <w:sz w:val="20"/>
              </w:rPr>
              <w:t>Advisory state</w:t>
            </w:r>
          </w:p>
        </w:tc>
        <w:tc>
          <w:tcPr>
            <w:tcW w:type="dxa" w:w="2880"/>
          </w:tcPr>
          <w:p>
            <w:r>
              <w:rPr>
                <w:i/>
                <w:sz w:val="20"/>
              </w:rPr>
              <w:t>{{advisory_state}}</w:t>
            </w:r>
          </w:p>
        </w:tc>
        <w:tc>
          <w:tcPr>
            <w:tcW w:type="dxa" w:w="2880"/>
          </w:tcPr>
          <w:p>
            <w:r>
              <w:rPr>
                <w:sz w:val="20"/>
              </w:rPr>
              <w:t>draft | embargoed | published | updated | superseded | closed</w:t>
            </w:r>
          </w:p>
        </w:tc>
      </w:tr>
      <w:tr>
        <w:tc>
          <w:tcPr>
            <w:tcW w:type="dxa" w:w="2880"/>
          </w:tcPr>
          <w:p>
            <w:r>
              <w:rPr>
                <w:sz w:val="20"/>
              </w:rPr>
              <w:t>First published (UTC)</w:t>
            </w:r>
          </w:p>
        </w:tc>
        <w:tc>
          <w:tcPr>
            <w:tcW w:type="dxa" w:w="2880"/>
          </w:tcPr>
          <w:p>
            <w:r>
              <w:rPr>
                <w:i/>
                <w:sz w:val="20"/>
              </w:rPr>
              <w:t>{{published_date}}</w:t>
            </w:r>
          </w:p>
        </w:tc>
        <w:tc>
          <w:tcPr>
            <w:tcW w:type="dxa" w:w="2880"/>
          </w:tcPr>
          <w:p>
            <w:r>
              <w:rPr>
                <w:sz w:val="20"/>
              </w:rPr>
              <w:t>ISO date</w:t>
            </w:r>
          </w:p>
        </w:tc>
      </w:tr>
      <w:tr>
        <w:tc>
          <w:tcPr>
            <w:tcW w:type="dxa" w:w="2880"/>
          </w:tcPr>
          <w:p>
            <w:r>
              <w:rPr>
                <w:sz w:val="20"/>
              </w:rPr>
              <w:t>Last updated (UTC)</w:t>
            </w:r>
          </w:p>
        </w:tc>
        <w:tc>
          <w:tcPr>
            <w:tcW w:type="dxa" w:w="2880"/>
          </w:tcPr>
          <w:p>
            <w:r>
              <w:rPr>
                <w:i/>
                <w:sz w:val="20"/>
              </w:rPr>
              <w:t>{{updated_date}}</w:t>
            </w:r>
          </w:p>
        </w:tc>
        <w:tc>
          <w:tcPr>
            <w:tcW w:type="dxa" w:w="2880"/>
          </w:tcPr>
          <w:p>
            <w:r>
              <w:rPr>
                <w:sz w:val="20"/>
              </w:rPr>
              <w:t>ISO date</w:t>
            </w:r>
          </w:p>
        </w:tc>
      </w:tr>
      <w:tr>
        <w:tc>
          <w:tcPr>
            <w:tcW w:type="dxa" w:w="2880"/>
          </w:tcPr>
          <w:p>
            <w:r>
              <w:rPr>
                <w:sz w:val="20"/>
              </w:rPr>
              <w:t>Summary</w:t>
            </w:r>
          </w:p>
        </w:tc>
        <w:tc>
          <w:tcPr>
            <w:tcW w:type="dxa" w:w="2880"/>
          </w:tcPr>
          <w:p>
            <w:r>
              <w:rPr>
                <w:i/>
                <w:sz w:val="20"/>
              </w:rPr>
              <w:t>{{summary}}</w:t>
            </w:r>
          </w:p>
        </w:tc>
        <w:tc>
          <w:tcPr>
            <w:tcW w:type="dxa" w:w="2880"/>
          </w:tcPr>
          <w:p>
            <w:r>
              <w:rPr>
                <w:sz w:val="20"/>
              </w:rPr>
              <w:t>2-4 sentences: the flaw, attacker impact, and the single most important action</w:t>
            </w:r>
          </w:p>
        </w:tc>
      </w:tr>
    </w:tbl>
    <w:p/>
    <w:p>
      <w:pPr>
        <w:pStyle w:val="Heading2"/>
      </w:pPr>
      <w:r>
        <w:rPr>
          <w:color w:val="0A2733"/>
        </w:rPr>
        <w:t>Vulnerability details table</w:t>
      </w:r>
    </w:p>
    <w:p>
      <w:r>
        <w:t>Impact and exploitation evidence. Annex I Part II point 4 requires a description of the vulnerability and information allowing users to identify the affected product.</w:t>
      </w:r>
    </w:p>
    <w:tbl>
      <w:tblPr>
        <w:tblStyle w:val="TableGrid"/>
        <w:tblW w:type="auto" w:w="0"/>
        <w:tblLook w:firstColumn="1" w:firstRow="1" w:lastColumn="0" w:lastRow="0" w:noHBand="0" w:noVBand="1" w:val="04A0"/>
      </w:tblPr>
      <w:tblGrid>
        <w:gridCol w:w="4320"/>
        <w:gridCol w:w="4320"/>
      </w:tblGrid>
      <w:tr>
        <w:tc>
          <w:tcPr>
            <w:tcW w:type="dxa" w:w="4320"/>
            <w:shd w:val="clear" w:fill="0A2733"/>
          </w:tcPr>
          <w:p>
            <w:r>
              <w:rPr>
                <w:b/>
                <w:color w:val="FFFFFF"/>
                <w:sz w:val="20"/>
              </w:rPr>
              <w:t>Field</w:t>
            </w:r>
          </w:p>
        </w:tc>
        <w:tc>
          <w:tcPr>
            <w:tcW w:type="dxa" w:w="4320"/>
            <w:shd w:val="clear" w:fill="0A2733"/>
          </w:tcPr>
          <w:p>
            <w:r>
              <w:rPr>
                <w:b/>
                <w:color w:val="FFFFFF"/>
                <w:sz w:val="20"/>
              </w:rPr>
              <w:t>Content</w:t>
            </w:r>
          </w:p>
        </w:tc>
      </w:tr>
      <w:tr>
        <w:tc>
          <w:tcPr>
            <w:tcW w:type="dxa" w:w="4320"/>
          </w:tcPr>
          <w:p>
            <w:r>
              <w:rPr>
                <w:sz w:val="20"/>
              </w:rPr>
              <w:t>Impact</w:t>
            </w:r>
          </w:p>
        </w:tc>
        <w:tc>
          <w:tcPr>
            <w:tcW w:type="dxa" w:w="4320"/>
          </w:tcPr>
          <w:p>
            <w:r>
              <w:rPr>
                <w:i/>
                <w:sz w:val="20"/>
              </w:rPr>
              <w:t>{{impact_description}} — what a successful attacker achieves, preconditions (network access, authentication, user interaction), limiting conditions in typical deployments</w:t>
            </w:r>
          </w:p>
        </w:tc>
      </w:tr>
      <w:tr>
        <w:tc>
          <w:tcPr>
            <w:tcW w:type="dxa" w:w="4320"/>
          </w:tcPr>
          <w:p>
            <w:r>
              <w:rPr>
                <w:sz w:val="20"/>
              </w:rPr>
              <w:t>Exploitation details</w:t>
            </w:r>
          </w:p>
        </w:tc>
        <w:tc>
          <w:tcPr>
            <w:tcW w:type="dxa" w:w="4320"/>
          </w:tcPr>
          <w:p>
            <w:r>
              <w:rPr>
                <w:i/>
                <w:sz w:val="20"/>
              </w:rPr>
              <w:t>{{exploitation_details}} — evidence basis for the status field; if exploited in the wild, note the Article 14 report via the single reporting platform</w:t>
            </w:r>
          </w:p>
        </w:tc>
      </w:tr>
      <w:tr>
        <w:tc>
          <w:tcPr>
            <w:tcW w:type="dxa" w:w="4320"/>
          </w:tcPr>
          <w:p>
            <w:r>
              <w:rPr>
                <w:sz w:val="20"/>
              </w:rPr>
              <w:t>Credit</w:t>
            </w:r>
          </w:p>
        </w:tc>
        <w:tc>
          <w:tcPr>
            <w:tcW w:type="dxa" w:w="4320"/>
          </w:tcPr>
          <w:p>
            <w:r>
              <w:rPr>
                <w:i/>
                <w:sz w:val="20"/>
              </w:rPr>
              <w:t>{{reporter_credit}} — reporter name/handle, with consent</w:t>
            </w:r>
          </w:p>
        </w:tc>
      </w:tr>
    </w:tbl>
    <w:p/>
    <w:p>
      <w:pPr>
        <w:pStyle w:val="Heading2"/>
      </w:pPr>
      <w:r>
        <w:rPr>
          <w:color w:val="0A2733"/>
        </w:rPr>
        <w:t>Affected and fixed versions table</w:t>
      </w:r>
    </w:p>
    <w:p>
      <w:r>
        <w:t>One row per product line. Cover ALL supported lines; state explicitly which products or versions are NOT affected: {{not_affected_note}}.</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0A2733"/>
          </w:tcPr>
          <w:p>
            <w:r>
              <w:rPr>
                <w:b/>
                <w:color w:val="FFFFFF"/>
                <w:sz w:val="20"/>
              </w:rPr>
              <w:t>Product</w:t>
            </w:r>
          </w:p>
        </w:tc>
        <w:tc>
          <w:tcPr>
            <w:tcW w:type="dxa" w:w="2160"/>
            <w:shd w:val="clear" w:fill="0A2733"/>
          </w:tcPr>
          <w:p>
            <w:r>
              <w:rPr>
                <w:b/>
                <w:color w:val="FFFFFF"/>
                <w:sz w:val="20"/>
              </w:rPr>
              <w:t>Affected versions</w:t>
            </w:r>
          </w:p>
        </w:tc>
        <w:tc>
          <w:tcPr>
            <w:tcW w:type="dxa" w:w="2160"/>
            <w:shd w:val="clear" w:fill="0A2733"/>
          </w:tcPr>
          <w:p>
            <w:r>
              <w:rPr>
                <w:b/>
                <w:color w:val="FFFFFF"/>
                <w:sz w:val="20"/>
              </w:rPr>
              <w:t>Fixed version</w:t>
            </w:r>
          </w:p>
        </w:tc>
        <w:tc>
          <w:tcPr>
            <w:tcW w:type="dxa" w:w="2160"/>
            <w:shd w:val="clear" w:fill="0A2733"/>
          </w:tcPr>
          <w:p>
            <w:r>
              <w:rPr>
                <w:b/>
                <w:color w:val="FFFFFF"/>
                <w:sz w:val="20"/>
              </w:rPr>
              <w:t>Deployment</w:t>
            </w:r>
          </w:p>
        </w:tc>
      </w:tr>
      <w:tr>
        <w:tc>
          <w:tcPr>
            <w:tcW w:type="dxa" w:w="2160"/>
          </w:tcPr>
          <w:p>
            <w:r>
              <w:rPr>
                <w:i/>
                <w:sz w:val="20"/>
              </w:rPr>
              <w:t>{{product_name}}</w:t>
            </w:r>
          </w:p>
        </w:tc>
        <w:tc>
          <w:tcPr>
            <w:tcW w:type="dxa" w:w="2160"/>
          </w:tcPr>
          <w:p>
            <w:r>
              <w:rPr>
                <w:i/>
                <w:sz w:val="20"/>
              </w:rPr>
              <w:t>{{affected_version_range}}</w:t>
            </w:r>
          </w:p>
        </w:tc>
        <w:tc>
          <w:tcPr>
            <w:tcW w:type="dxa" w:w="2160"/>
          </w:tcPr>
          <w:p>
            <w:r>
              <w:rPr>
                <w:i/>
                <w:sz w:val="20"/>
              </w:rPr>
              <w:t>{{fixed_version}}</w:t>
            </w:r>
          </w:p>
        </w:tc>
        <w:tc>
          <w:tcPr>
            <w:tcW w:type="dxa" w:w="2160"/>
          </w:tcPr>
          <w:p>
            <w:r>
              <w:rPr>
                <w:i/>
                <w:sz w:val="20"/>
              </w:rPr>
              <w:t>{{deployment_model}} (cloud | self-hosted | embedded/firmware)</w:t>
            </w:r>
          </w:p>
        </w:tc>
      </w:tr>
      <w:tr>
        <w:tc>
          <w:tcPr>
            <w:tcW w:type="dxa" w:w="2160"/>
          </w:tcPr>
          <w:p>
            <w:r>
              <w:rPr>
                <w:i/>
                <w:sz w:val="20"/>
              </w:rPr>
              <w:t>{{product_name_2}}</w:t>
            </w:r>
          </w:p>
        </w:tc>
        <w:tc>
          <w:tcPr>
            <w:tcW w:type="dxa" w:w="2160"/>
          </w:tcPr>
          <w:p>
            <w:r>
              <w:rPr>
                <w:i/>
                <w:sz w:val="20"/>
              </w:rPr>
              <w:t>{{affected_version_range_2}}</w:t>
            </w:r>
          </w:p>
        </w:tc>
        <w:tc>
          <w:tcPr>
            <w:tcW w:type="dxa" w:w="2160"/>
          </w:tcPr>
          <w:p>
            <w:r>
              <w:rPr>
                <w:i/>
                <w:sz w:val="20"/>
              </w:rPr>
              <w:t>{{fixed_version_2}}</w:t>
            </w:r>
          </w:p>
        </w:tc>
        <w:tc>
          <w:tcPr>
            <w:tcW w:type="dxa" w:w="2160"/>
          </w:tcPr>
          <w:p>
            <w:r>
              <w:rPr>
                <w:i/>
                <w:sz w:val="20"/>
              </w:rPr>
              <w:t>{{deployment_model_2}}</w:t>
            </w:r>
          </w:p>
        </w:tc>
      </w:tr>
    </w:tbl>
    <w:p/>
    <w:p>
      <w:pPr>
        <w:pStyle w:val="Heading2"/>
      </w:pPr>
      <w:r>
        <w:rPr>
          <w:color w:val="0A2733"/>
        </w:rPr>
        <w:t>Mitigations</w:t>
      </w:r>
    </w:p>
    <w:p>
      <w:r>
        <w:t>Recommended action: {{remediation_action}} — normally 'Upgrade to {{fixed_version}} or later'. State that the security update is free of charge (required during the support period, Annex I Part II point 8) and whether it applies automatically. Workarounds for customers who cannot patch immediately: {{mitigations}} — configuration changes, network restrictions, feature disablement. If none exist, state 'No workarounds are available; upgrading is the only remediation.' Never omit this section.</w:t>
      </w:r>
    </w:p>
    <w:p>
      <w:pPr>
        <w:pStyle w:val="Heading2"/>
      </w:pPr>
      <w:r>
        <w:rPr>
          <w:color w:val="0A2733"/>
        </w:rPr>
        <w:t>Timeline &amp; update log</w:t>
      </w:r>
    </w:p>
    <w:p>
      <w:r>
        <w:t>Disclosure timeline evidences vulnerability handling 'without delay'. Add a dated update-log row for every material change (new affected versions, exploitation observed, revised mitigations).</w:t>
      </w:r>
    </w:p>
    <w:tbl>
      <w:tblPr>
        <w:tblStyle w:val="TableGrid"/>
        <w:tblW w:type="auto" w:w="0"/>
        <w:tblLook w:firstColumn="1" w:firstRow="1" w:lastColumn="0" w:lastRow="0" w:noHBand="0" w:noVBand="1" w:val="04A0"/>
      </w:tblPr>
      <w:tblGrid>
        <w:gridCol w:w="4320"/>
        <w:gridCol w:w="4320"/>
      </w:tblGrid>
      <w:tr>
        <w:tc>
          <w:tcPr>
            <w:tcW w:type="dxa" w:w="4320"/>
            <w:shd w:val="clear" w:fill="0A2733"/>
          </w:tcPr>
          <w:p>
            <w:r>
              <w:rPr>
                <w:b/>
                <w:color w:val="FFFFFF"/>
                <w:sz w:val="20"/>
              </w:rPr>
              <w:t>Date (UTC)</w:t>
            </w:r>
          </w:p>
        </w:tc>
        <w:tc>
          <w:tcPr>
            <w:tcW w:type="dxa" w:w="4320"/>
            <w:shd w:val="clear" w:fill="0A2733"/>
          </w:tcPr>
          <w:p>
            <w:r>
              <w:rPr>
                <w:b/>
                <w:color w:val="FFFFFF"/>
                <w:sz w:val="20"/>
              </w:rPr>
              <w:t>Event / Change</w:t>
            </w:r>
          </w:p>
        </w:tc>
      </w:tr>
      <w:tr>
        <w:tc>
          <w:tcPr>
            <w:tcW w:type="dxa" w:w="4320"/>
          </w:tcPr>
          <w:p>
            <w:r>
              <w:rPr>
                <w:i/>
                <w:sz w:val="20"/>
              </w:rPr>
              <w:t>{{date_reported}}</w:t>
            </w:r>
          </w:p>
        </w:tc>
        <w:tc>
          <w:tcPr>
            <w:tcW w:type="dxa" w:w="4320"/>
          </w:tcPr>
          <w:p>
            <w:r>
              <w:rPr>
                <w:i/>
                <w:sz w:val="20"/>
              </w:rPr>
              <w:t>Vulnerability reported by {{reporter_credit}}</w:t>
            </w:r>
          </w:p>
        </w:tc>
      </w:tr>
      <w:tr>
        <w:tc>
          <w:tcPr>
            <w:tcW w:type="dxa" w:w="4320"/>
          </w:tcPr>
          <w:p>
            <w:r>
              <w:rPr>
                <w:i/>
                <w:sz w:val="20"/>
              </w:rPr>
              <w:t>{{date_triaged}}</w:t>
            </w:r>
          </w:p>
        </w:tc>
        <w:tc>
          <w:tcPr>
            <w:tcW w:type="dxa" w:w="4320"/>
          </w:tcPr>
          <w:p>
            <w:r>
              <w:rPr>
                <w:sz w:val="20"/>
              </w:rPr>
              <w:t>Report triaged and confirmed</w:t>
            </w:r>
          </w:p>
        </w:tc>
      </w:tr>
      <w:tr>
        <w:tc>
          <w:tcPr>
            <w:tcW w:type="dxa" w:w="4320"/>
          </w:tcPr>
          <w:p>
            <w:r>
              <w:rPr>
                <w:i/>
                <w:sz w:val="20"/>
              </w:rPr>
              <w:t>{{date_cve_assigned}}</w:t>
            </w:r>
          </w:p>
        </w:tc>
        <w:tc>
          <w:tcPr>
            <w:tcW w:type="dxa" w:w="4320"/>
          </w:tcPr>
          <w:p>
            <w:r>
              <w:rPr>
                <w:i/>
                <w:sz w:val="20"/>
              </w:rPr>
              <w:t>{{cve_id}} assigned</w:t>
            </w:r>
          </w:p>
        </w:tc>
      </w:tr>
      <w:tr>
        <w:tc>
          <w:tcPr>
            <w:tcW w:type="dxa" w:w="4320"/>
          </w:tcPr>
          <w:p>
            <w:r>
              <w:rPr>
                <w:i/>
                <w:sz w:val="20"/>
              </w:rPr>
              <w:t>{{date_fix_released}}</w:t>
            </w:r>
          </w:p>
        </w:tc>
        <w:tc>
          <w:tcPr>
            <w:tcW w:type="dxa" w:w="4320"/>
          </w:tcPr>
          <w:p>
            <w:r>
              <w:rPr>
                <w:i/>
                <w:sz w:val="20"/>
              </w:rPr>
              <w:t>Fixed version {{fixed_version}} released</w:t>
            </w:r>
          </w:p>
        </w:tc>
      </w:tr>
      <w:tr>
        <w:tc>
          <w:tcPr>
            <w:tcW w:type="dxa" w:w="4320"/>
          </w:tcPr>
          <w:p>
            <w:r>
              <w:rPr>
                <w:i/>
                <w:sz w:val="20"/>
              </w:rPr>
              <w:t>{{date_published}}</w:t>
            </w:r>
          </w:p>
        </w:tc>
        <w:tc>
          <w:tcPr>
            <w:tcW w:type="dxa" w:w="4320"/>
          </w:tcPr>
          <w:p>
            <w:r>
              <w:rPr>
                <w:sz w:val="20"/>
              </w:rPr>
              <w:t>Advisory published (update log v1.0: initial publication)</w:t>
            </w:r>
          </w:p>
        </w:tc>
      </w:tr>
      <w:tr>
        <w:tc>
          <w:tcPr>
            <w:tcW w:type="dxa" w:w="4320"/>
          </w:tcPr>
          <w:p>
            <w:r>
              <w:rPr>
                <w:i/>
                <w:sz w:val="20"/>
              </w:rPr>
              <w:t>{{update_date}}</w:t>
            </w:r>
          </w:p>
        </w:tc>
        <w:tc>
          <w:tcPr>
            <w:tcW w:type="dxa" w:w="4320"/>
          </w:tcPr>
          <w:p>
            <w:r>
              <w:rPr>
                <w:i/>
                <w:sz w:val="20"/>
              </w:rPr>
              <w:t>Update log v{{update_version}}: {{update_description}}</w:t>
            </w:r>
          </w:p>
        </w:tc>
      </w:tr>
    </w:tbl>
    <w:p/>
    <w:p>
      <w:pPr>
        <w:pStyle w:val="Heading2"/>
      </w:pPr>
      <w:r>
        <w:rPr>
          <w:color w:val="0A2733"/>
        </w:rPr>
        <w:t>Notification email variant</w:t>
      </w:r>
    </w:p>
    <w:p>
      <w:r>
        <w:t>Subject: [{{severity_uppercase}}] Security advisory {{advisory_id}}: {{advisory_title_short}}</w:t>
      </w:r>
    </w:p>
    <w:p>
      <w:r>
        <w:t>Hello {{recipient_name}},</w:t>
      </w:r>
    </w:p>
    <w:p>
      <w:r>
        <w:t>We have published a security advisory affecting {{product_name}}.</w:t>
      </w:r>
    </w:p>
    <w:p>
      <w:r>
        <w:t>Advisory: {{advisory_id}} — {{advisory_title_short}}</w:t>
        <w:br/>
        <w:t>CVE / EUVD: {{cve_id}} / {{euvd_id}}</w:t>
        <w:br/>
        <w:t>Severity: {{severity}} (CVSS v4.0 {{cvss_base_score}})</w:t>
        <w:br/>
        <w:t>Affected: {{affected_version_range}}</w:t>
        <w:br/>
        <w:t>Fixed in: {{fixed_version}}</w:t>
        <w:br/>
        <w:t>Exploitation: {{exploitation_status}}</w:t>
      </w:r>
    </w:p>
    <w:p>
      <w:r>
        <w:t>What you should do:</w:t>
        <w:br/>
        <w:t>{{action_summary}}</w:t>
      </w:r>
    </w:p>
    <w:p>
      <w:r>
        <w:t>Full advisory, including mitigations and the disclosure timeline:</w:t>
        <w:br/>
        <w:t>{{advisory_url}}</w:t>
      </w:r>
    </w:p>
    <w:p>
      <w:r>
        <w:t>We will update the advisory if anything material changes; subscribers to our Trust Center receive those updates automatically.</w:t>
      </w:r>
    </w:p>
    <w:p>
      <w:r>
        <w:t>{{sender_name}}</w:t>
        <w:br/>
        <w:t>Security Team, {{company_name}}</w:t>
        <w:br/>
        <w:t>{{security_contact_email}}</w:t>
      </w:r>
    </w:p>
    <w:p>
      <w:r>
        <w:t>Contact block for the advisory itself: report vulnerabilities to {{security_contact_email}} (CVD policy: {{cvd_policy_url}}). PGP key: {{pgp_key_url}} — fingerprint {{pgp_fingerprint}}.</w:t>
      </w:r>
    </w:p>
    <w:p>
      <w:r>
        <w:br w:type="page"/>
      </w:r>
    </w:p>
    <w:p>
      <w:pPr>
        <w:pStyle w:val="Heading1"/>
      </w:pPr>
      <w:r>
        <w:rPr>
          <w:color w:val="0A2733"/>
        </w:rPr>
        <w:t>FILLED EXAMPLE (fictional — replace with your own data)</w:t>
      </w:r>
    </w:p>
    <w:p>
      <w:pPr>
        <w:pStyle w:val="Heading2"/>
      </w:pPr>
      <w:r>
        <w:rPr>
          <w:color w:val="0A2733"/>
        </w:rPr>
        <w:t>Advisory header block — SAMPLE (fictional)</w:t>
      </w:r>
    </w:p>
    <w:p>
      <w:r>
        <w:t>All names, products, versions, identifiers, and events are fictional, for illustration only.</w:t>
      </w:r>
    </w:p>
    <w:tbl>
      <w:tblPr>
        <w:tblStyle w:val="TableGrid"/>
        <w:tblW w:type="auto" w:w="0"/>
        <w:tblLook w:firstColumn="1" w:firstRow="1" w:lastColumn="0" w:lastRow="0" w:noHBand="0" w:noVBand="1" w:val="04A0"/>
      </w:tblPr>
      <w:tblGrid>
        <w:gridCol w:w="4320"/>
        <w:gridCol w:w="4320"/>
      </w:tblGrid>
      <w:tr>
        <w:tc>
          <w:tcPr>
            <w:tcW w:type="dxa" w:w="4320"/>
            <w:shd w:val="clear" w:fill="0A2733"/>
          </w:tcPr>
          <w:p>
            <w:r>
              <w:rPr>
                <w:b/>
                <w:color w:val="FFFFFF"/>
                <w:sz w:val="20"/>
              </w:rPr>
              <w:t>Field</w:t>
            </w:r>
          </w:p>
        </w:tc>
        <w:tc>
          <w:tcPr>
            <w:tcW w:type="dxa" w:w="4320"/>
            <w:shd w:val="clear" w:fill="0A2733"/>
          </w:tcPr>
          <w:p>
            <w:r>
              <w:rPr>
                <w:b/>
                <w:color w:val="FFFFFF"/>
                <w:sz w:val="20"/>
              </w:rPr>
              <w:t>Value</w:t>
            </w:r>
          </w:p>
        </w:tc>
      </w:tr>
      <w:tr>
        <w:tc>
          <w:tcPr>
            <w:tcW w:type="dxa" w:w="4320"/>
          </w:tcPr>
          <w:p>
            <w:r>
              <w:rPr>
                <w:sz w:val="20"/>
              </w:rPr>
              <w:t>Advisory title</w:t>
            </w:r>
          </w:p>
        </w:tc>
        <w:tc>
          <w:tcPr>
            <w:tcW w:type="dxa" w:w="4320"/>
          </w:tcPr>
          <w:p>
            <w:r>
              <w:rPr>
                <w:sz w:val="20"/>
              </w:rPr>
              <w:t>Aurivo Edge Gateway: unauthenticated remote code execution in the sync API (CVE-2026-41337)</w:t>
            </w:r>
          </w:p>
        </w:tc>
      </w:tr>
      <w:tr>
        <w:tc>
          <w:tcPr>
            <w:tcW w:type="dxa" w:w="4320"/>
          </w:tcPr>
          <w:p>
            <w:r>
              <w:rPr>
                <w:sz w:val="20"/>
              </w:rPr>
              <w:t>Advisory ID</w:t>
            </w:r>
          </w:p>
        </w:tc>
        <w:tc>
          <w:tcPr>
            <w:tcW w:type="dxa" w:w="4320"/>
          </w:tcPr>
          <w:p>
            <w:r>
              <w:rPr>
                <w:sz w:val="20"/>
              </w:rPr>
              <w:t>AURIVO-SA-2026-004</w:t>
            </w:r>
          </w:p>
        </w:tc>
      </w:tr>
      <w:tr>
        <w:tc>
          <w:tcPr>
            <w:tcW w:type="dxa" w:w="4320"/>
          </w:tcPr>
          <w:p>
            <w:r>
              <w:rPr>
                <w:sz w:val="20"/>
              </w:rPr>
              <w:t>CVE ID</w:t>
            </w:r>
          </w:p>
        </w:tc>
        <w:tc>
          <w:tcPr>
            <w:tcW w:type="dxa" w:w="4320"/>
          </w:tcPr>
          <w:p>
            <w:r>
              <w:rPr>
                <w:sz w:val="20"/>
              </w:rPr>
              <w:t>CVE-2026-41337</w:t>
            </w:r>
          </w:p>
        </w:tc>
      </w:tr>
      <w:tr>
        <w:tc>
          <w:tcPr>
            <w:tcW w:type="dxa" w:w="4320"/>
          </w:tcPr>
          <w:p>
            <w:r>
              <w:rPr>
                <w:sz w:val="20"/>
              </w:rPr>
              <w:t>EUVD ID</w:t>
            </w:r>
          </w:p>
        </w:tc>
        <w:tc>
          <w:tcPr>
            <w:tcW w:type="dxa" w:w="4320"/>
          </w:tcPr>
          <w:p>
            <w:r>
              <w:rPr>
                <w:sz w:val="20"/>
              </w:rPr>
              <w:t>EUVD-2026-08123</w:t>
            </w:r>
          </w:p>
        </w:tc>
      </w:tr>
      <w:tr>
        <w:tc>
          <w:tcPr>
            <w:tcW w:type="dxa" w:w="4320"/>
          </w:tcPr>
          <w:p>
            <w:r>
              <w:rPr>
                <w:sz w:val="20"/>
              </w:rPr>
              <w:t>Severity</w:t>
            </w:r>
          </w:p>
        </w:tc>
        <w:tc>
          <w:tcPr>
            <w:tcW w:type="dxa" w:w="4320"/>
          </w:tcPr>
          <w:p>
            <w:r>
              <w:rPr>
                <w:sz w:val="20"/>
              </w:rPr>
              <w:t>critical (9.3)</w:t>
            </w:r>
          </w:p>
        </w:tc>
      </w:tr>
      <w:tr>
        <w:tc>
          <w:tcPr>
            <w:tcW w:type="dxa" w:w="4320"/>
          </w:tcPr>
          <w:p>
            <w:r>
              <w:rPr>
                <w:sz w:val="20"/>
              </w:rPr>
              <w:t>CVSS v4.0 vector</w:t>
            </w:r>
          </w:p>
        </w:tc>
        <w:tc>
          <w:tcPr>
            <w:tcW w:type="dxa" w:w="4320"/>
          </w:tcPr>
          <w:p>
            <w:r>
              <w:rPr>
                <w:sz w:val="20"/>
              </w:rPr>
              <w:t>CVSS:4.0/AV:N/AC:L/AT:N/PR:N/UI:N/VC:H/VI:H/VA:H/SC:N/SI:N/SA:N</w:t>
            </w:r>
          </w:p>
        </w:tc>
      </w:tr>
      <w:tr>
        <w:tc>
          <w:tcPr>
            <w:tcW w:type="dxa" w:w="4320"/>
          </w:tcPr>
          <w:p>
            <w:r>
              <w:rPr>
                <w:sz w:val="20"/>
              </w:rPr>
              <w:t>Exploitation status</w:t>
            </w:r>
          </w:p>
        </w:tc>
        <w:tc>
          <w:tcPr>
            <w:tcW w:type="dxa" w:w="4320"/>
          </w:tcPr>
          <w:p>
            <w:r>
              <w:rPr>
                <w:sz w:val="20"/>
              </w:rPr>
              <w:t>none-known</w:t>
            </w:r>
          </w:p>
        </w:tc>
      </w:tr>
      <w:tr>
        <w:tc>
          <w:tcPr>
            <w:tcW w:type="dxa" w:w="4320"/>
          </w:tcPr>
          <w:p>
            <w:r>
              <w:rPr>
                <w:sz w:val="20"/>
              </w:rPr>
              <w:t>Advisory state</w:t>
            </w:r>
          </w:p>
        </w:tc>
        <w:tc>
          <w:tcPr>
            <w:tcW w:type="dxa" w:w="4320"/>
          </w:tcPr>
          <w:p>
            <w:r>
              <w:rPr>
                <w:sz w:val="20"/>
              </w:rPr>
              <w:t>published</w:t>
            </w:r>
          </w:p>
        </w:tc>
      </w:tr>
      <w:tr>
        <w:tc>
          <w:tcPr>
            <w:tcW w:type="dxa" w:w="4320"/>
          </w:tcPr>
          <w:p>
            <w:r>
              <w:rPr>
                <w:sz w:val="20"/>
              </w:rPr>
              <w:t>First published (UTC)</w:t>
            </w:r>
          </w:p>
        </w:tc>
        <w:tc>
          <w:tcPr>
            <w:tcW w:type="dxa" w:w="4320"/>
          </w:tcPr>
          <w:p>
            <w:r>
              <w:rPr>
                <w:sz w:val="20"/>
              </w:rPr>
              <w:t>2026-06-24</w:t>
            </w:r>
          </w:p>
        </w:tc>
      </w:tr>
      <w:tr>
        <w:tc>
          <w:tcPr>
            <w:tcW w:type="dxa" w:w="4320"/>
          </w:tcPr>
          <w:p>
            <w:r>
              <w:rPr>
                <w:sz w:val="20"/>
              </w:rPr>
              <w:t>Last updated (UTC)</w:t>
            </w:r>
          </w:p>
        </w:tc>
        <w:tc>
          <w:tcPr>
            <w:tcW w:type="dxa" w:w="4320"/>
          </w:tcPr>
          <w:p>
            <w:r>
              <w:rPr>
                <w:sz w:val="20"/>
              </w:rPr>
              <w:t>2026-07-01</w:t>
            </w:r>
          </w:p>
        </w:tc>
      </w:tr>
      <w:tr>
        <w:tc>
          <w:tcPr>
            <w:tcW w:type="dxa" w:w="4320"/>
          </w:tcPr>
          <w:p>
            <w:r>
              <w:rPr>
                <w:sz w:val="20"/>
              </w:rPr>
              <w:t>Summary</w:t>
            </w:r>
          </w:p>
        </w:tc>
        <w:tc>
          <w:tcPr>
            <w:tcW w:type="dxa" w:w="4320"/>
          </w:tcPr>
          <w:p>
            <w:r>
              <w:rPr>
                <w:sz w:val="20"/>
              </w:rPr>
              <w:t>A deserialization flaw in the device-sync API of Aurivo Edge Gateway allows an unauthenticated network attacker to execute arbitrary code with service privileges. Aurivo Edge Gateway 3.8.2 fixes the issue. Upgrade immediately; a configuration workaround is available for deployments that cannot patch this week.</w:t>
            </w:r>
          </w:p>
        </w:tc>
      </w:tr>
    </w:tbl>
    <w:p/>
    <w:p>
      <w:pPr>
        <w:pStyle w:val="Heading2"/>
      </w:pPr>
      <w:r>
        <w:rPr>
          <w:color w:val="0A2733"/>
        </w:rPr>
        <w:t>Vulnerability details table — SAMPLE (fictional)</w:t>
      </w:r>
    </w:p>
    <w:tbl>
      <w:tblPr>
        <w:tblStyle w:val="TableGrid"/>
        <w:tblW w:type="auto" w:w="0"/>
        <w:tblLook w:firstColumn="1" w:firstRow="1" w:lastColumn="0" w:lastRow="0" w:noHBand="0" w:noVBand="1" w:val="04A0"/>
      </w:tblPr>
      <w:tblGrid>
        <w:gridCol w:w="4320"/>
        <w:gridCol w:w="4320"/>
      </w:tblGrid>
      <w:tr>
        <w:tc>
          <w:tcPr>
            <w:tcW w:type="dxa" w:w="4320"/>
            <w:shd w:val="clear" w:fill="0A2733"/>
          </w:tcPr>
          <w:p>
            <w:r>
              <w:rPr>
                <w:b/>
                <w:color w:val="FFFFFF"/>
                <w:sz w:val="20"/>
              </w:rPr>
              <w:t>Field</w:t>
            </w:r>
          </w:p>
        </w:tc>
        <w:tc>
          <w:tcPr>
            <w:tcW w:type="dxa" w:w="4320"/>
            <w:shd w:val="clear" w:fill="0A2733"/>
          </w:tcPr>
          <w:p>
            <w:r>
              <w:rPr>
                <w:b/>
                <w:color w:val="FFFFFF"/>
                <w:sz w:val="20"/>
              </w:rPr>
              <w:t>Content</w:t>
            </w:r>
          </w:p>
        </w:tc>
      </w:tr>
      <w:tr>
        <w:tc>
          <w:tcPr>
            <w:tcW w:type="dxa" w:w="4320"/>
          </w:tcPr>
          <w:p>
            <w:r>
              <w:rPr>
                <w:sz w:val="20"/>
              </w:rPr>
              <w:t>Impact</w:t>
            </w:r>
          </w:p>
        </w:tc>
        <w:tc>
          <w:tcPr>
            <w:tcW w:type="dxa" w:w="4320"/>
          </w:tcPr>
          <w:p>
            <w:r>
              <w:rPr>
                <w:sz w:val="20"/>
              </w:rPr>
              <w:t>An attacker with network access to the sync API port (default 8443/tcp) can send a crafted payload that is deserialized without validation, resulting in remote code execution as the aurivo-sync service account. No authentication or user interaction is required. Deployments that restrict port 8443 to management networks reduce, but do not eliminate, exposure.</w:t>
            </w:r>
          </w:p>
        </w:tc>
      </w:tr>
      <w:tr>
        <w:tc>
          <w:tcPr>
            <w:tcW w:type="dxa" w:w="4320"/>
          </w:tcPr>
          <w:p>
            <w:r>
              <w:rPr>
                <w:sz w:val="20"/>
              </w:rPr>
              <w:t>Exploitation details</w:t>
            </w:r>
          </w:p>
        </w:tc>
        <w:tc>
          <w:tcPr>
            <w:tcW w:type="dxa" w:w="4320"/>
          </w:tcPr>
          <w:p>
            <w:r>
              <w:rPr>
                <w:sz w:val="20"/>
              </w:rPr>
              <w:t>We are not aware of exploitation in the wild, and no public proof-of-concept exists at the time of publication. Should we become aware of active exploitation, we will report it via the CRA single reporting platform in line with Article 14 and update this advisory.</w:t>
            </w:r>
          </w:p>
        </w:tc>
      </w:tr>
      <w:tr>
        <w:tc>
          <w:tcPr>
            <w:tcW w:type="dxa" w:w="4320"/>
          </w:tcPr>
          <w:p>
            <w:r>
              <w:rPr>
                <w:sz w:val="20"/>
              </w:rPr>
              <w:t>Credit</w:t>
            </w:r>
          </w:p>
        </w:tc>
        <w:tc>
          <w:tcPr>
            <w:tcW w:type="dxa" w:w="4320"/>
          </w:tcPr>
          <w:p>
            <w:r>
              <w:rPr>
                <w:sz w:val="20"/>
              </w:rPr>
              <w:t>Mira Lindqvist (independent researcher) — reported via our coordinated vulnerability disclosure programme.</w:t>
            </w:r>
          </w:p>
        </w:tc>
      </w:tr>
    </w:tbl>
    <w:p/>
    <w:p>
      <w:pPr>
        <w:pStyle w:val="Heading2"/>
      </w:pPr>
      <w:r>
        <w:rPr>
          <w:color w:val="0A2733"/>
        </w:rPr>
        <w:t>Affected and fixed versions table — SAMPLE (fictional)</w:t>
      </w:r>
    </w:p>
    <w:p>
      <w:r>
        <w:t>Not affected: Aurivo Cloud Console (the sync API is not exposed); Edge Gateway releases before 3.2.0 (the affected endpoint was introduced in 3.2.0).</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0A2733"/>
          </w:tcPr>
          <w:p>
            <w:r>
              <w:rPr>
                <w:b/>
                <w:color w:val="FFFFFF"/>
                <w:sz w:val="20"/>
              </w:rPr>
              <w:t>Product</w:t>
            </w:r>
          </w:p>
        </w:tc>
        <w:tc>
          <w:tcPr>
            <w:tcW w:type="dxa" w:w="2160"/>
            <w:shd w:val="clear" w:fill="0A2733"/>
          </w:tcPr>
          <w:p>
            <w:r>
              <w:rPr>
                <w:b/>
                <w:color w:val="FFFFFF"/>
                <w:sz w:val="20"/>
              </w:rPr>
              <w:t>Affected versions</w:t>
            </w:r>
          </w:p>
        </w:tc>
        <w:tc>
          <w:tcPr>
            <w:tcW w:type="dxa" w:w="2160"/>
            <w:shd w:val="clear" w:fill="0A2733"/>
          </w:tcPr>
          <w:p>
            <w:r>
              <w:rPr>
                <w:b/>
                <w:color w:val="FFFFFF"/>
                <w:sz w:val="20"/>
              </w:rPr>
              <w:t>Fixed version</w:t>
            </w:r>
          </w:p>
        </w:tc>
        <w:tc>
          <w:tcPr>
            <w:tcW w:type="dxa" w:w="2160"/>
            <w:shd w:val="clear" w:fill="0A2733"/>
          </w:tcPr>
          <w:p>
            <w:r>
              <w:rPr>
                <w:b/>
                <w:color w:val="FFFFFF"/>
                <w:sz w:val="20"/>
              </w:rPr>
              <w:t>Deployment</w:t>
            </w:r>
          </w:p>
        </w:tc>
      </w:tr>
      <w:tr>
        <w:tc>
          <w:tcPr>
            <w:tcW w:type="dxa" w:w="2160"/>
          </w:tcPr>
          <w:p>
            <w:r>
              <w:rPr>
                <w:sz w:val="20"/>
              </w:rPr>
              <w:t>Aurivo Edge Gateway</w:t>
            </w:r>
          </w:p>
        </w:tc>
        <w:tc>
          <w:tcPr>
            <w:tcW w:type="dxa" w:w="2160"/>
          </w:tcPr>
          <w:p>
            <w:r>
              <w:rPr>
                <w:sz w:val="20"/>
              </w:rPr>
              <w:t>3.2.0 – 3.8.1</w:t>
            </w:r>
          </w:p>
        </w:tc>
        <w:tc>
          <w:tcPr>
            <w:tcW w:type="dxa" w:w="2160"/>
          </w:tcPr>
          <w:p>
            <w:r>
              <w:rPr>
                <w:sz w:val="20"/>
              </w:rPr>
              <w:t>3.8.2</w:t>
            </w:r>
          </w:p>
        </w:tc>
        <w:tc>
          <w:tcPr>
            <w:tcW w:type="dxa" w:w="2160"/>
          </w:tcPr>
          <w:p>
            <w:r>
              <w:rPr>
                <w:sz w:val="20"/>
              </w:rPr>
              <w:t>self-hosted</w:t>
            </w:r>
          </w:p>
        </w:tc>
      </w:tr>
      <w:tr>
        <w:tc>
          <w:tcPr>
            <w:tcW w:type="dxa" w:w="2160"/>
          </w:tcPr>
          <w:p>
            <w:r>
              <w:rPr>
                <w:sz w:val="20"/>
              </w:rPr>
              <w:t>Aurivo Edge Gateway LTS</w:t>
            </w:r>
          </w:p>
        </w:tc>
        <w:tc>
          <w:tcPr>
            <w:tcW w:type="dxa" w:w="2160"/>
          </w:tcPr>
          <w:p>
            <w:r>
              <w:rPr>
                <w:sz w:val="20"/>
              </w:rPr>
              <w:t>2.9.0 – 2.9.14</w:t>
            </w:r>
          </w:p>
        </w:tc>
        <w:tc>
          <w:tcPr>
            <w:tcW w:type="dxa" w:w="2160"/>
          </w:tcPr>
          <w:p>
            <w:r>
              <w:rPr>
                <w:sz w:val="20"/>
              </w:rPr>
              <w:t>2.9.15</w:t>
            </w:r>
          </w:p>
        </w:tc>
        <w:tc>
          <w:tcPr>
            <w:tcW w:type="dxa" w:w="2160"/>
          </w:tcPr>
          <w:p>
            <w:r>
              <w:rPr>
                <w:sz w:val="20"/>
              </w:rPr>
              <w:t>self-hosted</w:t>
            </w:r>
          </w:p>
        </w:tc>
      </w:tr>
    </w:tbl>
    <w:p/>
    <w:p>
      <w:pPr>
        <w:pStyle w:val="Heading2"/>
      </w:pPr>
      <w:r>
        <w:rPr>
          <w:color w:val="0A2733"/>
        </w:rPr>
        <w:t>Mitigations — SAMPLE (fictional)</w:t>
      </w:r>
    </w:p>
    <w:p>
      <w:r>
        <w:t>Recommended action: Upgrade to Aurivo Edge Gateway 3.8.2 (or LTS 2.9.15) or later. The security update is free of charge for all supported installations and is available through the standard update channel. Workaround: deployments that cannot patch immediately should restrict access to TCP port 8443 to trusted management networks, or disable the device-sync API (sync.enabled = false in gateway.conf; requires service restart). Disabling sync pauses fleet configuration distribution but does not affect data-plane traffic.</w:t>
      </w:r>
    </w:p>
    <w:p>
      <w:pPr>
        <w:pStyle w:val="Heading2"/>
      </w:pPr>
      <w:r>
        <w:rPr>
          <w:color w:val="0A2733"/>
        </w:rPr>
        <w:t>Timeline &amp; update log — SAMPLE (fictional)</w:t>
      </w:r>
    </w:p>
    <w:tbl>
      <w:tblPr>
        <w:tblStyle w:val="TableGrid"/>
        <w:tblW w:type="auto" w:w="0"/>
        <w:tblLook w:firstColumn="1" w:firstRow="1" w:lastColumn="0" w:lastRow="0" w:noHBand="0" w:noVBand="1" w:val="04A0"/>
      </w:tblPr>
      <w:tblGrid>
        <w:gridCol w:w="4320"/>
        <w:gridCol w:w="4320"/>
      </w:tblGrid>
      <w:tr>
        <w:tc>
          <w:tcPr>
            <w:tcW w:type="dxa" w:w="4320"/>
            <w:shd w:val="clear" w:fill="0A2733"/>
          </w:tcPr>
          <w:p>
            <w:r>
              <w:rPr>
                <w:b/>
                <w:color w:val="FFFFFF"/>
                <w:sz w:val="20"/>
              </w:rPr>
              <w:t>Date (UTC)</w:t>
            </w:r>
          </w:p>
        </w:tc>
        <w:tc>
          <w:tcPr>
            <w:tcW w:type="dxa" w:w="4320"/>
            <w:shd w:val="clear" w:fill="0A2733"/>
          </w:tcPr>
          <w:p>
            <w:r>
              <w:rPr>
                <w:b/>
                <w:color w:val="FFFFFF"/>
                <w:sz w:val="20"/>
              </w:rPr>
              <w:t>Event / Change</w:t>
            </w:r>
          </w:p>
        </w:tc>
      </w:tr>
      <w:tr>
        <w:tc>
          <w:tcPr>
            <w:tcW w:type="dxa" w:w="4320"/>
          </w:tcPr>
          <w:p>
            <w:r>
              <w:rPr>
                <w:sz w:val="20"/>
              </w:rPr>
              <w:t>2026-06-09</w:t>
            </w:r>
          </w:p>
        </w:tc>
        <w:tc>
          <w:tcPr>
            <w:tcW w:type="dxa" w:w="4320"/>
          </w:tcPr>
          <w:p>
            <w:r>
              <w:rPr>
                <w:sz w:val="20"/>
              </w:rPr>
              <w:t>Vulnerability reported by Mira Lindqvist (independent researcher)</w:t>
            </w:r>
          </w:p>
        </w:tc>
      </w:tr>
      <w:tr>
        <w:tc>
          <w:tcPr>
            <w:tcW w:type="dxa" w:w="4320"/>
          </w:tcPr>
          <w:p>
            <w:r>
              <w:rPr>
                <w:sz w:val="20"/>
              </w:rPr>
              <w:t>2026-06-10</w:t>
            </w:r>
          </w:p>
        </w:tc>
        <w:tc>
          <w:tcPr>
            <w:tcW w:type="dxa" w:w="4320"/>
          </w:tcPr>
          <w:p>
            <w:r>
              <w:rPr>
                <w:sz w:val="20"/>
              </w:rPr>
              <w:t>Report triaged and confirmed</w:t>
            </w:r>
          </w:p>
        </w:tc>
      </w:tr>
      <w:tr>
        <w:tc>
          <w:tcPr>
            <w:tcW w:type="dxa" w:w="4320"/>
          </w:tcPr>
          <w:p>
            <w:r>
              <w:rPr>
                <w:sz w:val="20"/>
              </w:rPr>
              <w:t>2026-06-12</w:t>
            </w:r>
          </w:p>
        </w:tc>
        <w:tc>
          <w:tcPr>
            <w:tcW w:type="dxa" w:w="4320"/>
          </w:tcPr>
          <w:p>
            <w:r>
              <w:rPr>
                <w:sz w:val="20"/>
              </w:rPr>
              <w:t>CVE-2026-41337 assigned</w:t>
            </w:r>
          </w:p>
        </w:tc>
      </w:tr>
      <w:tr>
        <w:tc>
          <w:tcPr>
            <w:tcW w:type="dxa" w:w="4320"/>
          </w:tcPr>
          <w:p>
            <w:r>
              <w:rPr>
                <w:sz w:val="20"/>
              </w:rPr>
              <w:t>2026-06-24</w:t>
            </w:r>
          </w:p>
        </w:tc>
        <w:tc>
          <w:tcPr>
            <w:tcW w:type="dxa" w:w="4320"/>
          </w:tcPr>
          <w:p>
            <w:r>
              <w:rPr>
                <w:sz w:val="20"/>
              </w:rPr>
              <w:t>Fixed versions 3.8.2 and 2.9.15 released</w:t>
            </w:r>
          </w:p>
        </w:tc>
      </w:tr>
      <w:tr>
        <w:tc>
          <w:tcPr>
            <w:tcW w:type="dxa" w:w="4320"/>
          </w:tcPr>
          <w:p>
            <w:r>
              <w:rPr>
                <w:sz w:val="20"/>
              </w:rPr>
              <w:t>2026-06-24</w:t>
            </w:r>
          </w:p>
        </w:tc>
        <w:tc>
          <w:tcPr>
            <w:tcW w:type="dxa" w:w="4320"/>
          </w:tcPr>
          <w:p>
            <w:r>
              <w:rPr>
                <w:sz w:val="20"/>
              </w:rPr>
              <w:t>Advisory published (update log v1.0: initial publication)</w:t>
            </w:r>
          </w:p>
        </w:tc>
      </w:tr>
      <w:tr>
        <w:tc>
          <w:tcPr>
            <w:tcW w:type="dxa" w:w="4320"/>
          </w:tcPr>
          <w:p>
            <w:r>
              <w:rPr>
                <w:sz w:val="20"/>
              </w:rPr>
              <w:t>2026-07-01</w:t>
            </w:r>
          </w:p>
        </w:tc>
        <w:tc>
          <w:tcPr>
            <w:tcW w:type="dxa" w:w="4320"/>
          </w:tcPr>
          <w:p>
            <w:r>
              <w:rPr>
                <w:sz w:val="20"/>
              </w:rPr>
              <w:t>Update log v1.1: added LTS 2.9.x affected range and fixed version 2.9.15</w:t>
            </w:r>
          </w:p>
        </w:tc>
      </w:tr>
    </w:tbl>
    <w:p/>
    <w:p>
      <w:pPr>
        <w:pStyle w:val="Heading2"/>
      </w:pPr>
      <w:r>
        <w:rPr>
          <w:color w:val="0A2733"/>
        </w:rPr>
        <w:t>Notification email variant — SAMPLE (fictional)</w:t>
      </w:r>
    </w:p>
    <w:p>
      <w:r>
        <w:t>Subject: [CRITICAL] Security advisory AURIVO-SA-2026-004: unauthenticated RCE in Aurivo Edge Gateway sync API</w:t>
      </w:r>
    </w:p>
    <w:p>
      <w:r>
        <w:t>Hello Ms. Berg,</w:t>
      </w:r>
    </w:p>
    <w:p>
      <w:r>
        <w:t>We have published a security advisory affecting Aurivo Edge Gateway.</w:t>
      </w:r>
    </w:p>
    <w:p>
      <w:r>
        <w:t>Advisory: AURIVO-SA-2026-004 — unauthenticated RCE in the sync API</w:t>
        <w:br/>
        <w:t>CVE / EUVD: CVE-2026-41337 / EUVD-2026-08123</w:t>
        <w:br/>
        <w:t>Severity: critical (CVSS v4.0 9.3)</w:t>
        <w:br/>
        <w:t>Affected: 3.2.0 – 3.8.1 and LTS 2.9.0 – 2.9.14</w:t>
        <w:br/>
        <w:t>Fixed in: 3.8.2 / LTS 2.9.15</w:t>
        <w:br/>
        <w:t>Exploitation: none-known</w:t>
      </w:r>
    </w:p>
    <w:p>
      <w:r>
        <w:t>What you should do:</w:t>
        <w:br/>
        <w:t>Upgrade all self-hosted Edge Gateway instances to 3.8.2 (or LTS 2.9.15) as soon as possible. If you cannot patch this week, restrict TCP port 8443 to trusted management networks or disable the device-sync API.</w:t>
      </w:r>
    </w:p>
    <w:p>
      <w:r>
        <w:t>Full advisory, including mitigations and the disclosure timeline:</w:t>
        <w:br/>
        <w:t>https://trust.aurivo.example/advisories/AURIVO-SA-2026-004</w:t>
      </w:r>
    </w:p>
    <w:p>
      <w:r>
        <w:t>We will update the advisory if anything material changes; subscribers to our Trust Center receive those updates automatically.</w:t>
      </w:r>
    </w:p>
    <w:p>
      <w:r>
        <w:t>Jonas Feld</w:t>
        <w:br/>
        <w:t>Security Team, Aurivo Systems GmbH</w:t>
        <w:br/>
        <w:t>security@aurivo.example</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8A9397"/>
        <w:sz w:val="15"/>
      </w:rPr>
      <w:t>CRA Vulnerability Advisory Template v1.0 · 2026-07-03 · Orbiq · www.orbiqhq.com/templates/cra-vulnerability-advisory-template · Not legal advice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Helvetica" w:hAnsi="Helvetic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