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0A2733"/>
        </w:rPr>
        <w:t>DORA-Exit-Strategie- &amp; Exit-Plan-Vorlage</w:t>
      </w:r>
    </w:p>
    <w:p>
      <w:r>
        <w:rPr>
          <w:b w:val="0"/>
          <w:i/>
          <w:sz w:val="22"/>
        </w:rPr>
        <w:t>Artikel 28(8), Verordnung (EU) 2022/2554 · RTS (EU) 2024/1773 Artikel 10</w:t>
      </w:r>
    </w:p>
    <w:p>
      <w:r>
        <w:rPr>
          <w:b w:val="0"/>
          <w:i w:val="0"/>
          <w:sz w:val="18"/>
        </w:rPr>
        <w:t>KOSTENLOSE VORLAGE — DOCX · PDF · MD | Version 1.0 · Stand 2026-07-23</w:t>
      </w:r>
    </w:p>
    <w:p>
      <w:r>
        <w:rPr>
          <w:b w:val="0"/>
          <w:i w:val="0"/>
          <w:sz w:val="18"/>
        </w:rPr>
        <w:t>So nutzen Sie die Vorlage: Teil A wird einmal auf Unternehmensebene ausgefüllt. Teil B wird einmal je vertraglicher Vereinbarung ausgefüllt, die eine kritische oder wichtige Funktion unterstützt (ein Plan je Vereinbarung — RTS (EU) 2024/1773, Art 10). Teil C protokolliert jeden Test und jede Überprüfung. Teil D ist das Aktivierungs-Runbook. Teil E ist ein ausgefülltes fiktives Beispiel. Ersetzen Sie alle Hinweistexte in [eckigen Klammern]. Diese Vorlage ist ein Ausgangspunkt, keine Rechtsberatung.</w:t>
      </w:r>
    </w:p>
    <w:p>
      <w:r>
        <w:rPr>
          <w:b/>
          <w:i w:val="0"/>
          <w:sz w:val="18"/>
        </w:rPr>
        <w:t>Geschützte Ergebnisse — jeder Exit muss abgeschlossen werden (a) ohne Unterbrechung des Geschäftsbetriebs, (b) ohne Einschränkung der Einhaltung regulatorischer Anforderungen, (c) ohne Beeinträchtigung der Kontinuität und Qualität der Dienstleistungen für Kunden (Art 28(8)).</w:t>
      </w:r>
    </w:p>
    <w:p>
      <w:r/>
    </w:p>
    <w:p>
      <w:pPr>
        <w:pStyle w:val="Heading1"/>
      </w:pPr>
      <w:r>
        <w:rPr>
          <w:color w:val="0A2733"/>
        </w:rPr>
        <w:t>Teil A — Exit-Strategie auf Unternehmensebene</w:t>
      </w:r>
    </w:p>
    <w:p>
      <w:r>
        <w:rPr>
          <w:b w:val="0"/>
          <w:i/>
          <w:sz w:val="18"/>
        </w:rPr>
        <w:t>Einmal ausgefüllt; mindestens jährlich und bei wesentlichen Änderungen überprüft.</w:t>
      </w:r>
    </w:p>
    <w:p>
      <w:pPr>
        <w:pStyle w:val="Heading2"/>
      </w:pPr>
      <w:r>
        <w:rPr>
          <w:color w:val="0A2733"/>
        </w:rPr>
        <w:t>A.1 Anwendungsbereich &amp; Governance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Finanzunternehmen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[Juristischer Name · LEI]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Art des Unternehmens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[Kreditinstitut / Zahlungsinstitut / Wertpapierfirma / Versicherer / …]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Zuständige Behörde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[BaFin / DNB / CBI / AMF / Finanstilsynet / …]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Strategieverantwortliche(r)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[Rolle — z. B. Leitung Drittparteien-Risikomanagement]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Freigabegremium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[Leitungsorgan / Gremium + Freigabedatum]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Vereinbarungen im Anwendungsbereich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[Liste der Vertragsreferenzen, die kritische oder wichtige Funktionen unterstützen — verknüpft mit dem Informationsregister]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Überprüfungsrhythmus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[Mindestens jährlich + bei wesentlichen Änderungen; nächster Überprüfungstermin]</w:t>
            </w:r>
          </w:p>
        </w:tc>
      </w:tr>
    </w:tbl>
    <w:p/>
    <w:p>
      <w:pPr>
        <w:pStyle w:val="Heading2"/>
      </w:pPr>
      <w:r>
        <w:rPr>
          <w:color w:val="0A2733"/>
        </w:rPr>
        <w:t>A.2 Risikoszenarien (Art 28(8))</w:t>
      </w:r>
    </w:p>
    <w:p>
      <w:r>
        <w:rPr>
          <w:b w:val="0"/>
          <w:i w:val="0"/>
          <w:sz w:val="18"/>
        </w:rPr>
        <w:t>Die Exit-Strategie muss mindestens berücksichtigen: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Szenario 1 — Ausfall des Dienstleisters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[Insolvenz, Abwicklung, plötzliche Einstellung der Tätigkeit des IKT-Drittdienstleisters]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Szenario 2 — Qualitätsverschlechterung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[Anhaltende Verschlechterung der bereitgestellten IKT-Dienstleistungen gegenüber den vereinbarten Service-Levels]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Szenario 3 — Geschäftsunterbrechung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[Unterbrechung durch ungeeignete oder fehlgeschlagene Erbringung von IKT-Dienstleistungen]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Szenario 4 — Wesentliches Bereitstellungsrisiko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[Wesentliches Risiko für die angemessene und kontinuierliche Bereitstellung der IKT-Dienstleistung — z. B. Instabilität der Unterauftragskette, geopolitische Risiken oder Risiken des rechtlichen Datenzugriffs]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Szenario 5 — Kündigung nach Art 28(7)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[(a) erheblicher Verstoß gegen Gesetze oder den Vertrag; (b) Überwachungsbefunde, die die Leistungserbringung verändern können; (c) belegte Schwächen im gesamten IKT-Risikomanagement des Dienstleisters, inkl. Verfügbarkeit, Authentizität, Integrität, Vertraulichkeit der Daten; (d) die zuständige Behörde kann das Unternehmen nicht mehr wirksam beaufsichtigen]</w:t>
            </w:r>
          </w:p>
        </w:tc>
      </w:tr>
    </w:tbl>
    <w:p/>
    <w:p>
      <w:pPr>
        <w:pStyle w:val="Heading2"/>
      </w:pPr>
      <w:r>
        <w:rPr>
          <w:color w:val="0A2733"/>
        </w:rPr>
        <w:t>A.3 Methode der Alternativenbewertung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Skala der Substituierbarkeitseinstufung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[z. B. leicht substituierbar / mit Aufwand substituierbar / schwierig / nicht substituierbar — an den B_07-Bewertungen Ihres RoI ausrichten]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Rhythmus des Marktscans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[Wie oft Alternativanbieter je Dienstleistungskategorie neu bewertet werden]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Richtlinie zur Inhouse-Option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[Wann die Wiedereingliederung ins eigene Haus als machbar gilt; Kapazitätsannahmen]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Verknüpfung zum Konzentrationsrisiko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[Wie Abhängigkeiten mehrerer Vereinbarungen von einem Dienstleister oder einem Unterauftragnehmer einfließen]</w:t>
            </w:r>
          </w:p>
        </w:tc>
      </w:tr>
    </w:tbl>
    <w:p/>
    <w:p>
      <w:r/>
    </w:p>
    <w:p>
      <w:pPr>
        <w:pStyle w:val="Heading1"/>
      </w:pPr>
      <w:r>
        <w:rPr>
          <w:color w:val="0A2733"/>
        </w:rPr>
        <w:t>Teil B — Exit-Plan (einer je Vereinbarung)</w:t>
      </w:r>
    </w:p>
    <w:p>
      <w:r>
        <w:rPr>
          <w:b w:val="0"/>
          <w:i/>
          <w:sz w:val="18"/>
        </w:rPr>
        <w:t>Füllen Sie einen Teil B je vertraglicher Vereinbarung aus, die eine kritische oder wichtige Funktion unterstützt.</w:t>
      </w:r>
    </w:p>
    <w:p>
      <w:pPr>
        <w:pStyle w:val="Heading2"/>
      </w:pPr>
      <w:r>
        <w:rPr>
          <w:color w:val="0A2733"/>
        </w:rPr>
        <w:t>B.1 Identifikation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Vertragsreferenz (RoI-Schlüssel)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[z. B. CTR-2024-018 — muss mit dem Informationsregister übereinstimmen]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IKT-Drittdienstleister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[Juristischer Name · LEI/EUID]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IKT-Dienstleistung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[Dienstleistungsbeschreibung + Typ (Taxonomie-Code S01–S19)]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Unterstützte kritische/wichtige Funktion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[Funktionsname + Verweis auf die Kritikalitätsbegründung nach Art 3(22)]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Planverantwortliche(r)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[Rolle]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Entscheidungsträger für die Aktivierung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[Rolle / Gremium, befugt, den Exit auszulösen]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Planversion · Datum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[v · JJJJ-MM-TT]</w:t>
            </w:r>
          </w:p>
        </w:tc>
      </w:tr>
    </w:tbl>
    <w:p/>
    <w:p>
      <w:pPr>
        <w:pStyle w:val="Heading2"/>
      </w:pPr>
      <w:r>
        <w:rPr>
          <w:color w:val="0A2733"/>
        </w:rPr>
        <w:t>B.2 Exit-Trigger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Geplante (Non-Stressed-)Trigger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[Gescheiterte kommerzielle Neuverhandlung, strategisches Insourcing, Strategiewechsel des Anbieters, Vertragsende …]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Stress-Trigger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[Insolvenz/Ausfall des Anbieters; Art 28(7)(a) erheblicher Verstoß; 28(7)(b) Überwachungsbefunde; 28(7)(c) belegte IKT-Risiko-Schwächen; 28(7)(d) Beaufsichtigbarkeit; CTPP-Aufsichtsempfehlung]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Trigger-Indikatoren / KRIs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[Die Überwachungssignale, die jeden Trigger sichtbar machen — SLA-Verletzungszähler, Vorfallshäufigkeit, Finanzlage-Flags]</w:t>
            </w:r>
          </w:p>
        </w:tc>
      </w:tr>
    </w:tbl>
    <w:p/>
    <w:p>
      <w:pPr>
        <w:pStyle w:val="Heading2"/>
      </w:pPr>
      <w:r>
        <w:rPr>
          <w:color w:val="0A2733"/>
        </w:rPr>
        <w:t>B.3 Alternativlösung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Bewertete Alternativanbieter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[Namen + Bewertungsdatum + Ergebnis]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Inhouse-Option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[Machbar? Kapazität, Zeitplan, Kosten]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Gewählter Exit-Weg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[Alternativanbieter X / Inhouse / hybrid]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Substituierbarkeitseinstufung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[Nach der Skala aus A.3]</w:t>
            </w:r>
          </w:p>
        </w:tc>
      </w:tr>
    </w:tbl>
    <w:p/>
    <w:p>
      <w:pPr>
        <w:pStyle w:val="Heading2"/>
      </w:pPr>
      <w:r>
        <w:rPr>
          <w:color w:val="0A2733"/>
        </w:rPr>
        <w:t>B.4 Übergangsplan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Phasen &amp; Zeitplan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[Phase 1 Vorbereitung (…Wo.) → Phase 2 Datenmigration (…Wo.) → Phase 3 Parallelbetrieb (…Wo.) → Phase 4 Cutover → Phase 5 Stilllegung &amp; Datenlöschung]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Dateninventar &amp; Rückgabeformat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[Beim Dienstleister gehaltene Datensätze; vereinbarte Exportformate; Volumen]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Sicheres Übertragungsverfahren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[Mechanismus, Verschlüsselung bei der Übertragung, Integritätsprüfung der übertragenen Daten]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Parallelbetriebsfenster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[Dauer + Erfolgskriterien]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Rollback-Kriterien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[Bedingungen, unter denen der Cutover zurückgenommen wird]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Verifikation &amp; Abschluss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[Löschbestätigung des Dienstleisters; Zugriffsentzug; RoI-Aktualisierung]</w:t>
            </w:r>
          </w:p>
        </w:tc>
      </w:tr>
    </w:tbl>
    <w:p/>
    <w:p>
      <w:pPr>
        <w:pStyle w:val="Heading2"/>
      </w:pPr>
      <w:r>
        <w:rPr>
          <w:color w:val="0A2733"/>
        </w:rPr>
        <w:t>B.5 Vertragliche Anker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Übergangsfrist (Art 30(3)(f))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[Im Vertrag vereinbarte verpflichtende angemessene Übergangsfrist — der Zeitplan des Plans MUSS in sie hineinpassen]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Kündigungsfristen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[Unternehmen: … Tage · Dienstleister: … Tage]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Datenrückgabe- &amp; Löschklauseln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[Klauselverweise + garantierte Formate]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Übergangsunterstützung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[Pflichten des Dienstleisters zur Migrationsunterstützung, inkl. Kosten]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Zeitplan-Passungsprüfung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[Passt der Zeitplan aus B.4 in die Übergangsfrist? JA / NEIN — falls NEIN, Vertragsnachbesserung]</w:t>
            </w:r>
          </w:p>
        </w:tc>
      </w:tr>
    </w:tbl>
    <w:p/>
    <w:p>
      <w:pPr>
        <w:pStyle w:val="Heading2"/>
      </w:pPr>
      <w:r>
        <w:rPr>
          <w:color w:val="0A2733"/>
        </w:rPr>
        <w:t>B.6 Notfallmaßnahmen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Interims-Kontinuitätsmaßnahmen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[Wie die Funktion während des Exits weiterläuft — Verfahren für eingeschränkten Betrieb, temporäre Kapazität, manuelle Workarounds (Art 28(8) letzter Unterabs.)]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Minderung der Kundenauswirkungen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[Wie Kontinuität und Qualität der Kundendienstleistungen während des Übergangs geschützt werden]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Sicherungen der regulatorischen Compliance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[Meldepflichten, Datenschutz-Kontinuität, Aufbewahrung während der Migration]</w:t>
            </w:r>
          </w:p>
        </w:tc>
      </w:tr>
    </w:tbl>
    <w:p/>
    <w:p>
      <w:pPr>
        <w:pStyle w:val="Heading2"/>
      </w:pPr>
      <w:r>
        <w:rPr>
          <w:color w:val="0A2733"/>
        </w:rPr>
        <w:t>B.7 Kosten &amp; Ressourcen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Geschätzte Exit-Kosten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[Einmalige Migrationskosten + Gebühren des Anbieters für Übergangsunterstützung]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Interne Ressourcen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[Teams, FTE-Wochen, Schlüsselpersonen-Abhängigkeiten]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Zeitliche Restriktionen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[Freeze-Perioden, regulatorische Meldefenster, saisonale Spitzen]</w:t>
            </w:r>
          </w:p>
        </w:tc>
      </w:tr>
    </w:tbl>
    <w:p/>
    <w:p>
      <w:r/>
    </w:p>
    <w:p>
      <w:pPr>
        <w:pStyle w:val="Heading1"/>
      </w:pPr>
      <w:r>
        <w:rPr>
          <w:color w:val="0A2733"/>
        </w:rPr>
        <w:t>Teil C — Test- &amp; Überprüfungsprotokoll für Exit-Pläne</w:t>
      </w:r>
    </w:p>
    <w:p>
      <w:r>
        <w:rPr>
          <w:b w:val="0"/>
          <w:i/>
          <w:sz w:val="18"/>
        </w:rPr>
        <w:t>Art 28(8): Pläne müssen ausreichend getestet und regelmäßig überprüft werden. RTS (EU) 2024/1773 Art 10: Tests müssen unvorhergesehene und anhaltende Serviceunterbrechungen berücksichtigen; Pläne müssen realistisch und durchführbar sein und auf plausiblen Szenarien und angemessenen Annahmen beruhen.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  <w:shd w:val="clear" w:fill="0A2733"/>
          </w:tcPr>
          <w:p>
            <w:r>
              <w:rPr>
                <w:b/>
                <w:color w:val="FFFFFF"/>
                <w:sz w:val="16"/>
              </w:rPr>
              <w:t>Datum</w:t>
            </w:r>
          </w:p>
        </w:tc>
        <w:tc>
          <w:tcPr>
            <w:tcW w:type="dxa" w:w="1234"/>
            <w:shd w:val="clear" w:fill="0A2733"/>
          </w:tcPr>
          <w:p>
            <w:r>
              <w:rPr>
                <w:b/>
                <w:color w:val="FFFFFF"/>
                <w:sz w:val="16"/>
              </w:rPr>
              <w:t>Vertragsref.</w:t>
            </w:r>
          </w:p>
        </w:tc>
        <w:tc>
          <w:tcPr>
            <w:tcW w:type="dxa" w:w="1234"/>
            <w:shd w:val="clear" w:fill="0A2733"/>
          </w:tcPr>
          <w:p>
            <w:r>
              <w:rPr>
                <w:b/>
                <w:color w:val="FFFFFF"/>
                <w:sz w:val="16"/>
              </w:rPr>
              <w:t>Getestetes Szenario</w:t>
            </w:r>
          </w:p>
        </w:tc>
        <w:tc>
          <w:tcPr>
            <w:tcW w:type="dxa" w:w="1234"/>
            <w:shd w:val="clear" w:fill="0A2733"/>
          </w:tcPr>
          <w:p>
            <w:r>
              <w:rPr>
                <w:b/>
                <w:color w:val="FFFFFF"/>
                <w:sz w:val="16"/>
              </w:rPr>
              <w:t>Testtyp</w:t>
            </w:r>
          </w:p>
        </w:tc>
        <w:tc>
          <w:tcPr>
            <w:tcW w:type="dxa" w:w="1234"/>
            <w:shd w:val="clear" w:fill="0A2733"/>
          </w:tcPr>
          <w:p>
            <w:r>
              <w:rPr>
                <w:b/>
                <w:color w:val="FFFFFF"/>
                <w:sz w:val="16"/>
              </w:rPr>
              <w:t>Beteiligte</w:t>
            </w:r>
          </w:p>
        </w:tc>
        <w:tc>
          <w:tcPr>
            <w:tcW w:type="dxa" w:w="1234"/>
            <w:shd w:val="clear" w:fill="0A2733"/>
          </w:tcPr>
          <w:p>
            <w:r>
              <w:rPr>
                <w:b/>
                <w:color w:val="FFFFFF"/>
                <w:sz w:val="16"/>
              </w:rPr>
              <w:t>Befunde</w:t>
            </w:r>
          </w:p>
        </w:tc>
        <w:tc>
          <w:tcPr>
            <w:tcW w:type="dxa" w:w="1234"/>
            <w:shd w:val="clear" w:fill="0A2733"/>
          </w:tcPr>
          <w:p>
            <w:r>
              <w:rPr>
                <w:b/>
                <w:color w:val="FFFFFF"/>
                <w:sz w:val="16"/>
              </w:rPr>
              <w:t>Abhilfe · nächster Test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r>
        <w:rPr>
          <w:b w:val="0"/>
          <w:i w:val="0"/>
          <w:sz w:val="16"/>
        </w:rPr>
      </w:r>
    </w:p>
    <w:p>
      <w:r>
        <w:rPr>
          <w:b w:val="0"/>
          <w:i/>
          <w:sz w:val="16"/>
        </w:rPr>
        <w:t>Testtypen: Tabletop / Walkthrough · partieller Datenextraktionstest · Restore-/Import-Verifikation · Vollsimulation. Das Szenarioset muss mindestens einen Fall einer unvorhergesehenen und einen Fall einer anhaltenden Unterbrechung enthalten.</w:t>
      </w:r>
    </w:p>
    <w:p>
      <w:r/>
    </w:p>
    <w:p>
      <w:pPr>
        <w:pStyle w:val="Heading1"/>
      </w:pPr>
      <w:r>
        <w:rPr>
          <w:color w:val="0A2733"/>
        </w:rPr>
        <w:t>Teil D — Aktivierungs-Runbook (Gerüst)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1728"/>
            <w:shd w:val="clear" w:fill="EEF2F4"/>
          </w:tcPr>
          <w:p>
            <w:r>
              <w:rPr>
                <w:b/>
                <w:sz w:val="18"/>
              </w:rPr>
              <w:t>1. Erklären</w:t>
            </w:r>
          </w:p>
        </w:tc>
        <w:tc>
          <w:tcPr>
            <w:tcW w:type="dxa" w:w="7632"/>
          </w:tcPr>
          <w:p>
            <w:r>
              <w:rPr>
                <w:sz w:val="18"/>
              </w:rPr>
              <w:t>Der Entscheidungsträger bestätigt den Trigger und erklärt den Exit (geplant oder Stress); Entscheidung + Zeitpunkt protokollieren.</w:t>
            </w:r>
          </w:p>
        </w:tc>
      </w:tr>
      <w:tr>
        <w:tc>
          <w:tcPr>
            <w:tcW w:type="dxa" w:w="1728"/>
            <w:shd w:val="clear" w:fill="EEF2F4"/>
          </w:tcPr>
          <w:p>
            <w:r>
              <w:rPr>
                <w:b/>
                <w:sz w:val="18"/>
              </w:rPr>
              <w:t>2. Benachrichtigen</w:t>
            </w:r>
          </w:p>
        </w:tc>
        <w:tc>
          <w:tcPr>
            <w:tcW w:type="dxa" w:w="7632"/>
          </w:tcPr>
          <w:p>
            <w:r>
              <w:rPr>
                <w:sz w:val="18"/>
              </w:rPr>
              <w:t>Interne Stakeholder; der Dienstleister (gemäß vertraglicher Kündigung); die zuständige Behörde wo erforderlich; betroffene Kunden gemäß Kundenkommunikationsplan.</w:t>
            </w:r>
          </w:p>
        </w:tc>
      </w:tr>
      <w:tr>
        <w:tc>
          <w:tcPr>
            <w:tcW w:type="dxa" w:w="1728"/>
            <w:shd w:val="clear" w:fill="EEF2F4"/>
          </w:tcPr>
          <w:p>
            <w:r>
              <w:rPr>
                <w:b/>
                <w:sz w:val="18"/>
              </w:rPr>
              <w:t>3. Einfrieren</w:t>
            </w:r>
          </w:p>
        </w:tc>
        <w:tc>
          <w:tcPr>
            <w:tcW w:type="dxa" w:w="7632"/>
          </w:tcPr>
          <w:p>
            <w:r>
              <w:rPr>
                <w:sz w:val="18"/>
              </w:rPr>
              <w:t>Scope-Änderungen der Vereinbarung einfrieren; aktuellen Daten-Snapshot sichern; das Dateninventar erneut validieren.</w:t>
            </w:r>
          </w:p>
        </w:tc>
      </w:tr>
      <w:tr>
        <w:tc>
          <w:tcPr>
            <w:tcW w:type="dxa" w:w="1728"/>
            <w:shd w:val="clear" w:fill="EEF2F4"/>
          </w:tcPr>
          <w:p>
            <w:r>
              <w:rPr>
                <w:b/>
                <w:sz w:val="18"/>
              </w:rPr>
              <w:t>4. Ausführen</w:t>
            </w:r>
          </w:p>
        </w:tc>
        <w:tc>
          <w:tcPr>
            <w:tcW w:type="dxa" w:w="7632"/>
          </w:tcPr>
          <w:p>
            <w:r>
              <w:rPr>
                <w:sz w:val="18"/>
              </w:rPr>
              <w:t>Übergangsphasen aus B.4 ausführen; gegen die Übergangsfrist nach Art 30(3)(f) verfolgen; bei Bedarf Notfallmaßnahmen aus B.6 hochfahren.</w:t>
            </w:r>
          </w:p>
        </w:tc>
      </w:tr>
      <w:tr>
        <w:tc>
          <w:tcPr>
            <w:tcW w:type="dxa" w:w="1728"/>
            <w:shd w:val="clear" w:fill="EEF2F4"/>
          </w:tcPr>
          <w:p>
            <w:r>
              <w:rPr>
                <w:b/>
                <w:sz w:val="18"/>
              </w:rPr>
              <w:t>5. Verifizieren</w:t>
            </w:r>
          </w:p>
        </w:tc>
        <w:tc>
          <w:tcPr>
            <w:tcW w:type="dxa" w:w="7632"/>
          </w:tcPr>
          <w:p>
            <w:r>
              <w:rPr>
                <w:sz w:val="18"/>
              </w:rPr>
              <w:t>Datenrückgabe im vereinbarten Format bestätigen; Integrität verifizieren; Löschbestätigung des Dienstleisters einholen; Zugriffe entziehen.</w:t>
            </w:r>
          </w:p>
        </w:tc>
      </w:tr>
      <w:tr>
        <w:tc>
          <w:tcPr>
            <w:tcW w:type="dxa" w:w="1728"/>
            <w:shd w:val="clear" w:fill="EEF2F4"/>
          </w:tcPr>
          <w:p>
            <w:r>
              <w:rPr>
                <w:b/>
                <w:sz w:val="18"/>
              </w:rPr>
              <w:t>6. Abschließen</w:t>
            </w:r>
          </w:p>
        </w:tc>
        <w:tc>
          <w:tcPr>
            <w:tcW w:type="dxa" w:w="7632"/>
          </w:tcPr>
          <w:p>
            <w:r>
              <w:rPr>
                <w:sz w:val="18"/>
              </w:rPr>
              <w:t>Informationsregister aktualisieren; Post-Exit-Review; Erkenntnisse in Teil A und die verbleibenden Teil-B-Pläne einspeisen.</w:t>
            </w:r>
          </w:p>
        </w:tc>
      </w:tr>
    </w:tbl>
    <w:p/>
    <w:p>
      <w:r/>
    </w:p>
    <w:p>
      <w:pPr>
        <w:pStyle w:val="Heading1"/>
      </w:pPr>
      <w:r>
        <w:rPr>
          <w:color w:val="0A2733"/>
        </w:rPr>
        <w:t>Teil E — Ausgefülltes Beispiel (fiktiv)</w:t>
      </w:r>
    </w:p>
    <w:p>
      <w:r>
        <w:rPr>
          <w:b w:val="0"/>
          <w:i/>
          <w:sz w:val="18"/>
        </w:rPr>
        <w:t>Nordbank SE (fiktiv) steigt bei CloudCore GmbH (fiktiv) aus — konsistent mit dem Beispiel-Universum unserer DORA-Informationsregister-Vorlage und der Nachweis-Checkliste für IKT-Dienstleister.</w:t>
      </w:r>
    </w:p>
    <w:p>
      <w:pPr>
        <w:pStyle w:val="Heading2"/>
      </w:pPr>
      <w:r>
        <w:rPr>
          <w:color w:val="0A2733"/>
        </w:rPr>
        <w:t>E.1 Identifikation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Vertragsreferenz (RoI-Schlüssel)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CTR-2024-018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IKT-Drittdienstleister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CloudCore GmbH · LEI 529900EXAMPLE0000018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IKT-Dienstleistung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Hosting-Plattform für das Kernbankensystem — S17 (Infrastructure-as-a-Service)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Unterstützte kritische/wichtige Funktion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Zahlungsverarbeitung Privatkunden (kritisch — Test nach Art 3(22) dokumentiert in RoI B_06.01)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Planverantwortliche(r)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Leitung Drittparteien-Risikomanagement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Entscheidungsträger für die Aktivierung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Komitee für operationelle Resilienz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Planversion · Datum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v2.1 · 2026-05-12</w:t>
            </w:r>
          </w:p>
        </w:tc>
      </w:tr>
    </w:tbl>
    <w:p/>
    <w:p>
      <w:pPr>
        <w:pStyle w:val="Heading2"/>
      </w:pPr>
      <w:r>
        <w:rPr>
          <w:color w:val="0A2733"/>
        </w:rPr>
        <w:t>E.2 Trigger (Auszug)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Geplant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Vertragsablauf am 2027-02-28 ohne Verlängerungsvereinbarung bis zum 2026-09-30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Stress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Insolvenz von CloudCore; wiederholte Befunde nach Art 28(7)(c) — zwei anhaltende Verfügbarkeitsverletzungen (&lt;99,5 % monatlich) in beliebigen rollierenden 6 Monaten; aufsichtliche Beschränkung des Anbieters</w:t>
            </w:r>
          </w:p>
        </w:tc>
      </w:tr>
    </w:tbl>
    <w:p/>
    <w:p>
      <w:pPr>
        <w:pStyle w:val="Heading2"/>
      </w:pPr>
      <w:r>
        <w:rPr>
          <w:color w:val="0A2733"/>
        </w:rPr>
        <w:t>E.3 Alternative &amp; Übergang (Auszug)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Gewählter Exit-Weg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Alternativanbieter: HanseCloud AB (bewertet 2026-03, vertragsbereit); Inhouse verworfen (Kapazität)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Phasen &amp; Zeitplan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Vorbereitung 4 Wo. → Datenmigration 6 Wo. → Parallelbetrieb 4 Wo. → Cutover 1 Wo. → Stilllegung 3 Wo. = 18 Wo. gesamt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Übergangsfrist (Art 30(3)(f))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24 Monate ab Kündigung — 18-Wochen-Plan passt; JA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Datenrückgabeformat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Vollständige PostgreSQL-Dumps + Objektspeicher-Export (S3-kompatibel), AES-256 bei der Übertragung, SHA-256-Manifest-Verifikation</w:t>
            </w:r>
          </w:p>
        </w:tc>
      </w:tr>
      <w:tr>
        <w:tc>
          <w:tcPr>
            <w:tcW w:type="dxa" w:w="3168"/>
            <w:shd w:val="clear" w:fill="EEF2F4"/>
          </w:tcPr>
          <w:p>
            <w:r>
              <w:rPr>
                <w:b/>
                <w:sz w:val="18"/>
              </w:rPr>
              <w:t>Notfallmaßnahmen</w:t>
            </w:r>
          </w:p>
        </w:tc>
        <w:tc>
          <w:tcPr>
            <w:tcW w:type="dxa" w:w="6192"/>
          </w:tcPr>
          <w:p>
            <w:r>
              <w:rPr>
                <w:sz w:val="18"/>
              </w:rPr>
              <w:t>Zahlungswarteschlange im eingeschränkten Betrieb über sekundären Verarbeitungsstandort (RTO 4h) während des Cutover-Fensters</w:t>
            </w:r>
          </w:p>
        </w:tc>
      </w:tr>
    </w:tbl>
    <w:p/>
    <w:p>
      <w:pPr>
        <w:pStyle w:val="Heading2"/>
      </w:pPr>
      <w:r>
        <w:rPr>
          <w:color w:val="0A2733"/>
        </w:rPr>
        <w:t>E.4 Letzter Test (Auszug)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92"/>
            <w:shd w:val="clear" w:fill="EEF2F4"/>
          </w:tcPr>
          <w:p>
            <w:r>
              <w:rPr>
                <w:b/>
                <w:sz w:val="18"/>
              </w:rPr>
              <w:t>2026-04-22 · CTR-2024-018</w:t>
            </w:r>
          </w:p>
        </w:tc>
        <w:tc>
          <w:tcPr>
            <w:tcW w:type="dxa" w:w="6768"/>
          </w:tcPr>
          <w:p>
            <w:r>
              <w:rPr>
                <w:sz w:val="18"/>
              </w:rPr>
              <w:t>Szenario: anhaltende Unterbrechung (Insolvenz des Anbieters). Typ: Tabletop + partieller Datenextraktionstest (5-%-Stichprobe, Integrität verifiziert). Befunde: Export-Durchsatz 40 % unter der Annahme — Migrationsphase von 4 auf 6 Wo. umgeplant. Abhilfe geschlossen am 2026-05-12; nächster Test 2027-04.</w:t>
            </w:r>
          </w:p>
        </w:tc>
      </w:tr>
    </w:tbl>
    <w:p/>
    <w:p>
      <w:r>
        <w:rPr>
          <w:b w:val="0"/>
          <w:i w:val="0"/>
          <w:sz w:val="20"/>
        </w:rPr>
      </w:r>
    </w:p>
    <w:p>
      <w:r>
        <w:rPr>
          <w:b w:val="0"/>
          <w:i/>
          <w:sz w:val="16"/>
        </w:rPr>
        <w:t>Orbiq · DORA-Exit-Strategie- &amp; Exit-Plan-Vorlage v1.0 · 2026-07-23 · orbiqhq.com/de/vorlagen/dora-exit-strategie-vorlage · Kostenlos nutz- und anpassbar innerhalb Ihrer Organisation. Keine Rechtsberatung.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