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DSFA-Vorlage — DSGVO Artikel 35</w:t>
      </w:r>
    </w:p>
    <w:p>
      <w:r>
        <w:rPr>
          <w:color w:val="5A6A72"/>
          <w:sz w:val="24"/>
        </w:rPr>
        <w:t>Datenschutz-Folgenabschätzung · Vorprüfung → Beschreibung → Notwendigkeit → Risikomatrix → Freigabe · mit KI-Annex</w:t>
      </w:r>
    </w:p>
    <w:p>
      <w:r>
        <w:rPr>
          <w:b/>
          <w:color w:val="B88A00"/>
          <w:sz w:val="18"/>
        </w:rPr>
        <w:t>KOSTENLOSE VORLAGE — DOCX · PDF · MD    |    Version 1.0 · Stand 2026-07-15</w:t>
      </w:r>
    </w:p>
    <w:p>
      <w:r>
        <w:rPr>
          <w:i/>
          <w:color w:val="5A6A72"/>
          <w:sz w:val="18"/>
        </w:rPr>
        <w:t>VOR Beginn der Verarbeitung ausfüllen (Art 35(1)). Die Abschnitte 4–11 sind der Pflichtinhalt nach Art 35(7)(a)–(d). Wo ein DSB benannt ist, ist sein Rat verpflichtend (Art 35(2)). Bleibt ein hohes Restrisiko, konsultieren Sie vor der Verarbeitung Ihre Aufsichtsbehörde (Art 36 — schriftliche Empfehlung binnen 8 Wochen, verlängerbar um 6). Überprüfung spätestens bei veränderter Risikolage (Art 35(11)).</w:t>
      </w:r>
    </w:p>
    <w:p>
      <w:pPr>
        <w:pStyle w:val="Heading1"/>
      </w:pPr>
      <w:r>
        <w:t>1. Dokumentenkontrolle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DSFA-Referenz</w:t>
            </w:r>
          </w:p>
        </w:tc>
        <w:tc>
          <w:tcPr>
            <w:tcW w:type="dxa" w:w="4320"/>
          </w:tcPr>
          <w:p>
            <w:r>
              <w:rPr>
                <w:i/>
                <w:color w:val="5A6A72"/>
                <w:sz w:val="17"/>
              </w:rPr>
              <w:t>Interne ID, z. B. DPIA-2026-004</w:t>
            </w:r>
          </w:p>
        </w:tc>
      </w:tr>
      <w:tr>
        <w:tc>
          <w:tcPr>
            <w:tcW w:type="dxa" w:w="4320"/>
            <w:shd w:val="clear" w:fill="F5F1E8"/>
          </w:tcPr>
          <w:p>
            <w:r>
              <w:rPr>
                <w:b/>
                <w:color w:val="0A2733"/>
                <w:sz w:val="17"/>
              </w:rPr>
              <w:t>Name der Verarbeitung / Funktion</w:t>
            </w:r>
          </w:p>
        </w:tc>
        <w:tc>
          <w:tcPr>
            <w:tcW w:type="dxa" w:w="4320"/>
          </w:tcPr>
          <w:p>
            <w:r>
              <w:rPr>
                <w:i/>
                <w:color w:val="5A6A72"/>
                <w:sz w:val="17"/>
              </w:rPr>
              <w:t>Kurzname der zu bewertenden Verarbeitung</w:t>
            </w:r>
          </w:p>
        </w:tc>
      </w:tr>
      <w:tr>
        <w:tc>
          <w:tcPr>
            <w:tcW w:type="dxa" w:w="4320"/>
            <w:shd w:val="clear" w:fill="F5F1E8"/>
          </w:tcPr>
          <w:p>
            <w:r>
              <w:rPr>
                <w:b/>
                <w:color w:val="0A2733"/>
                <w:sz w:val="17"/>
              </w:rPr>
              <w:t>Verantwortlicher</w:t>
            </w:r>
          </w:p>
        </w:tc>
        <w:tc>
          <w:tcPr>
            <w:tcW w:type="dxa" w:w="4320"/>
          </w:tcPr>
          <w:p>
            <w:r>
              <w:rPr>
                <w:i w:val="0"/>
                <w:color w:val="5A6A72"/>
                <w:sz w:val="17"/>
              </w:rPr>
              <w:t>Juristische Person</w:t>
            </w:r>
          </w:p>
        </w:tc>
      </w:tr>
      <w:tr>
        <w:tc>
          <w:tcPr>
            <w:tcW w:type="dxa" w:w="4320"/>
            <w:shd w:val="clear" w:fill="F5F1E8"/>
          </w:tcPr>
          <w:p>
            <w:r>
              <w:rPr>
                <w:b/>
                <w:color w:val="0A2733"/>
                <w:sz w:val="17"/>
              </w:rPr>
              <w:t>Erstellende Person</w:t>
            </w:r>
          </w:p>
        </w:tc>
        <w:tc>
          <w:tcPr>
            <w:tcW w:type="dxa" w:w="4320"/>
          </w:tcPr>
          <w:p>
            <w:r>
              <w:rPr>
                <w:i/>
                <w:color w:val="5A6A72"/>
                <w:sz w:val="17"/>
              </w:rPr>
              <w:t>Person, die diese DSFA erstellt</w:t>
            </w:r>
          </w:p>
        </w:tc>
      </w:tr>
      <w:tr>
        <w:tc>
          <w:tcPr>
            <w:tcW w:type="dxa" w:w="4320"/>
            <w:shd w:val="clear" w:fill="F5F1E8"/>
          </w:tcPr>
          <w:p>
            <w:r>
              <w:rPr>
                <w:b/>
                <w:color w:val="0A2733"/>
                <w:sz w:val="17"/>
              </w:rPr>
              <w:t>Datum Beginn / Freigabe</w:t>
            </w:r>
          </w:p>
        </w:tc>
        <w:tc>
          <w:tcPr>
            <w:tcW w:type="dxa" w:w="4320"/>
          </w:tcPr>
          <w:p>
            <w:r>
              <w:rPr>
                <w:i w:val="0"/>
                <w:color w:val="5A6A72"/>
                <w:sz w:val="17"/>
              </w:rPr>
              <w:t>Lebenszyklus-Daten</w:t>
            </w:r>
          </w:p>
        </w:tc>
      </w:tr>
    </w:tbl>
    <w:p/>
    <w:p>
      <w:pPr>
        <w:pStyle w:val="Heading1"/>
      </w:pPr>
      <w:r>
        <w:t>2. Vorprüfung — ist eine DSFA erforderlich?</w:t>
      </w:r>
    </w:p>
    <w:p>
      <w:pPr>
        <w:pStyle w:val="Heading3"/>
      </w:pPr>
      <w:r>
        <w:t>2a. Immer-DSFA-Fälle des Artikels 35(3)</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Fall</w:t>
            </w:r>
          </w:p>
        </w:tc>
        <w:tc>
          <w:tcPr>
            <w:tcW w:type="dxa" w:w="4320"/>
            <w:shd w:val="clear" w:fill="F2C744"/>
          </w:tcPr>
          <w:p>
            <w:r>
              <w:rPr>
                <w:b/>
                <w:color w:val="0A2733"/>
                <w:sz w:val="17"/>
              </w:rPr>
              <w:t>Trifft zu?</w:t>
            </w:r>
          </w:p>
        </w:tc>
      </w:tr>
      <w:tr>
        <w:tc>
          <w:tcPr>
            <w:tcW w:type="dxa" w:w="4320"/>
          </w:tcPr>
          <w:p>
            <w:r>
              <w:rPr>
                <w:i w:val="0"/>
                <w:color w:val="5A6A72"/>
                <w:sz w:val="17"/>
              </w:rPr>
              <w:t>35(3)(a) Systematische und umfassende automatisierte Bewertung/Profiling mit Rechtswirkung oder ähnlich erheblicher Beeinträchtigung</w:t>
            </w:r>
          </w:p>
        </w:tc>
        <w:tc>
          <w:tcPr>
            <w:tcW w:type="dxa" w:w="4320"/>
          </w:tcPr>
          <w:p>
            <w:r>
              <w:rPr>
                <w:i/>
                <w:color w:val="5A6A72"/>
                <w:sz w:val="17"/>
              </w:rPr>
              <w:t>Ja / Nein</w:t>
            </w:r>
          </w:p>
        </w:tc>
      </w:tr>
      <w:tr>
        <w:tc>
          <w:tcPr>
            <w:tcW w:type="dxa" w:w="4320"/>
          </w:tcPr>
          <w:p>
            <w:r>
              <w:rPr>
                <w:i w:val="0"/>
                <w:color w:val="5A6A72"/>
                <w:sz w:val="17"/>
              </w:rPr>
              <w:t>35(3)(b) Umfangreiche Verarbeitung besonderer Kategorien (Art 9) oder strafrechtlicher Daten (Art 10)</w:t>
            </w:r>
          </w:p>
        </w:tc>
        <w:tc>
          <w:tcPr>
            <w:tcW w:type="dxa" w:w="4320"/>
          </w:tcPr>
          <w:p>
            <w:r>
              <w:rPr>
                <w:i/>
                <w:color w:val="5A6A72"/>
                <w:sz w:val="17"/>
              </w:rPr>
              <w:t>Ja / Nein</w:t>
            </w:r>
          </w:p>
        </w:tc>
      </w:tr>
      <w:tr>
        <w:tc>
          <w:tcPr>
            <w:tcW w:type="dxa" w:w="4320"/>
          </w:tcPr>
          <w:p>
            <w:r>
              <w:rPr>
                <w:i w:val="0"/>
                <w:color w:val="5A6A72"/>
                <w:sz w:val="17"/>
              </w:rPr>
              <w:t>35(3)(c) Systematische umfangreiche Überwachung eines öffentlich zugänglichen Bereichs</w:t>
            </w:r>
          </w:p>
        </w:tc>
        <w:tc>
          <w:tcPr>
            <w:tcW w:type="dxa" w:w="4320"/>
          </w:tcPr>
          <w:p>
            <w:r>
              <w:rPr>
                <w:i/>
                <w:color w:val="5A6A72"/>
                <w:sz w:val="17"/>
              </w:rPr>
              <w:t>Ja / Nein</w:t>
            </w:r>
          </w:p>
        </w:tc>
      </w:tr>
    </w:tbl>
    <w:p/>
    <w:p>
      <w:pPr>
        <w:pStyle w:val="Heading3"/>
      </w:pPr>
      <w:r>
        <w:t>2b. Die neun Hochrisiko-Kriterien der WP248 rev.01 (zwei erfüllt → DSFA)</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7"/>
              </w:rPr>
              <w:t>Kriterium</w:t>
            </w:r>
          </w:p>
        </w:tc>
        <w:tc>
          <w:tcPr>
            <w:tcW w:type="dxa" w:w="4320"/>
            <w:shd w:val="clear" w:fill="F2C744"/>
          </w:tcPr>
          <w:p>
            <w:r>
              <w:rPr>
                <w:b/>
                <w:color w:val="0A2733"/>
                <w:sz w:val="17"/>
              </w:rPr>
              <w:t>Erfüllt?</w:t>
            </w:r>
          </w:p>
        </w:tc>
      </w:tr>
      <w:tr>
        <w:tc>
          <w:tcPr>
            <w:tcW w:type="dxa" w:w="4320"/>
          </w:tcPr>
          <w:p>
            <w:r>
              <w:rPr>
                <w:i w:val="0"/>
                <w:color w:val="5A6A72"/>
                <w:sz w:val="17"/>
              </w:rPr>
              <w:t>1. Bewerten oder Einstufen (inkl. Profiling, Vorhersagen)</w:t>
            </w:r>
          </w:p>
        </w:tc>
        <w:tc>
          <w:tcPr>
            <w:tcW w:type="dxa" w:w="4320"/>
          </w:tcPr>
          <w:p>
            <w:r>
              <w:rPr>
                <w:i/>
                <w:color w:val="5A6A72"/>
                <w:sz w:val="17"/>
              </w:rPr>
              <w:t>Ja / Nein</w:t>
            </w:r>
          </w:p>
        </w:tc>
      </w:tr>
      <w:tr>
        <w:tc>
          <w:tcPr>
            <w:tcW w:type="dxa" w:w="4320"/>
          </w:tcPr>
          <w:p>
            <w:r>
              <w:rPr>
                <w:i w:val="0"/>
                <w:color w:val="5A6A72"/>
                <w:sz w:val="17"/>
              </w:rPr>
              <w:t>2. Automatisierte Entscheidungsfindung mit Rechtswirkung oder ähnlich erheblicher Wirkung</w:t>
            </w:r>
          </w:p>
        </w:tc>
        <w:tc>
          <w:tcPr>
            <w:tcW w:type="dxa" w:w="4320"/>
          </w:tcPr>
          <w:p>
            <w:r>
              <w:rPr>
                <w:i/>
                <w:color w:val="5A6A72"/>
                <w:sz w:val="17"/>
              </w:rPr>
              <w:t>Ja / Nein</w:t>
            </w:r>
          </w:p>
        </w:tc>
      </w:tr>
      <w:tr>
        <w:tc>
          <w:tcPr>
            <w:tcW w:type="dxa" w:w="4320"/>
          </w:tcPr>
          <w:p>
            <w:r>
              <w:rPr>
                <w:i w:val="0"/>
                <w:color w:val="5A6A72"/>
                <w:sz w:val="17"/>
              </w:rPr>
              <w:t>3. Systematische Überwachung</w:t>
            </w:r>
          </w:p>
        </w:tc>
        <w:tc>
          <w:tcPr>
            <w:tcW w:type="dxa" w:w="4320"/>
          </w:tcPr>
          <w:p>
            <w:r>
              <w:rPr>
                <w:i/>
                <w:color w:val="5A6A72"/>
                <w:sz w:val="17"/>
              </w:rPr>
              <w:t>Ja / Nein</w:t>
            </w:r>
          </w:p>
        </w:tc>
      </w:tr>
      <w:tr>
        <w:tc>
          <w:tcPr>
            <w:tcW w:type="dxa" w:w="4320"/>
          </w:tcPr>
          <w:p>
            <w:r>
              <w:rPr>
                <w:i w:val="0"/>
                <w:color w:val="5A6A72"/>
                <w:sz w:val="17"/>
              </w:rPr>
              <w:t>4. Vertrauliche oder höchstpersönliche Daten</w:t>
            </w:r>
          </w:p>
        </w:tc>
        <w:tc>
          <w:tcPr>
            <w:tcW w:type="dxa" w:w="4320"/>
          </w:tcPr>
          <w:p>
            <w:r>
              <w:rPr>
                <w:i/>
                <w:color w:val="5A6A72"/>
                <w:sz w:val="17"/>
              </w:rPr>
              <w:t>Ja / Nein</w:t>
            </w:r>
          </w:p>
        </w:tc>
      </w:tr>
      <w:tr>
        <w:tc>
          <w:tcPr>
            <w:tcW w:type="dxa" w:w="4320"/>
          </w:tcPr>
          <w:p>
            <w:r>
              <w:rPr>
                <w:i w:val="0"/>
                <w:color w:val="5A6A72"/>
                <w:sz w:val="17"/>
              </w:rPr>
              <w:t>5. Datenverarbeitung in großem Umfang</w:t>
            </w:r>
          </w:p>
        </w:tc>
        <w:tc>
          <w:tcPr>
            <w:tcW w:type="dxa" w:w="4320"/>
          </w:tcPr>
          <w:p>
            <w:r>
              <w:rPr>
                <w:i/>
                <w:color w:val="5A6A72"/>
                <w:sz w:val="17"/>
              </w:rPr>
              <w:t>Ja / Nein</w:t>
            </w:r>
          </w:p>
        </w:tc>
      </w:tr>
      <w:tr>
        <w:tc>
          <w:tcPr>
            <w:tcW w:type="dxa" w:w="4320"/>
          </w:tcPr>
          <w:p>
            <w:r>
              <w:rPr>
                <w:i w:val="0"/>
                <w:color w:val="5A6A72"/>
                <w:sz w:val="17"/>
              </w:rPr>
              <w:t>6. Abgleich oder Zusammenführung von Datensätzen</w:t>
            </w:r>
          </w:p>
        </w:tc>
        <w:tc>
          <w:tcPr>
            <w:tcW w:type="dxa" w:w="4320"/>
          </w:tcPr>
          <w:p>
            <w:r>
              <w:rPr>
                <w:i/>
                <w:color w:val="5A6A72"/>
                <w:sz w:val="17"/>
              </w:rPr>
              <w:t>Ja / Nein</w:t>
            </w:r>
          </w:p>
        </w:tc>
      </w:tr>
      <w:tr>
        <w:tc>
          <w:tcPr>
            <w:tcW w:type="dxa" w:w="4320"/>
          </w:tcPr>
          <w:p>
            <w:r>
              <w:rPr>
                <w:i w:val="0"/>
                <w:color w:val="5A6A72"/>
                <w:sz w:val="17"/>
              </w:rPr>
              <w:t>7. Daten schutzbedürftiger betroffener Personen</w:t>
            </w:r>
          </w:p>
        </w:tc>
        <w:tc>
          <w:tcPr>
            <w:tcW w:type="dxa" w:w="4320"/>
          </w:tcPr>
          <w:p>
            <w:r>
              <w:rPr>
                <w:i/>
                <w:color w:val="5A6A72"/>
                <w:sz w:val="17"/>
              </w:rPr>
              <w:t>Ja / Nein</w:t>
            </w:r>
          </w:p>
        </w:tc>
      </w:tr>
      <w:tr>
        <w:tc>
          <w:tcPr>
            <w:tcW w:type="dxa" w:w="4320"/>
          </w:tcPr>
          <w:p>
            <w:r>
              <w:rPr>
                <w:i w:val="0"/>
                <w:color w:val="5A6A72"/>
                <w:sz w:val="17"/>
              </w:rPr>
              <w:t>8. Innovative Nutzung / neue technische oder organisatorische Lösungen (inkl. KI)</w:t>
            </w:r>
          </w:p>
        </w:tc>
        <w:tc>
          <w:tcPr>
            <w:tcW w:type="dxa" w:w="4320"/>
          </w:tcPr>
          <w:p>
            <w:r>
              <w:rPr>
                <w:i/>
                <w:color w:val="5A6A72"/>
                <w:sz w:val="17"/>
              </w:rPr>
              <w:t>Ja / Nein</w:t>
            </w:r>
          </w:p>
        </w:tc>
      </w:tr>
      <w:tr>
        <w:tc>
          <w:tcPr>
            <w:tcW w:type="dxa" w:w="4320"/>
          </w:tcPr>
          <w:p>
            <w:r>
              <w:rPr>
                <w:i w:val="0"/>
                <w:color w:val="5A6A72"/>
                <w:sz w:val="17"/>
              </w:rPr>
              <w:t>9. Verarbeitung, die die Ausübung eines Rechts oder die Nutzung eines Dienstes/Vertrags verhindert</w:t>
            </w:r>
          </w:p>
        </w:tc>
        <w:tc>
          <w:tcPr>
            <w:tcW w:type="dxa" w:w="4320"/>
          </w:tcPr>
          <w:p>
            <w:r>
              <w:rPr>
                <w:i/>
                <w:color w:val="5A6A72"/>
                <w:sz w:val="17"/>
              </w:rPr>
              <w:t>Ja / Nein</w:t>
            </w:r>
          </w:p>
        </w:tc>
      </w:tr>
    </w:tbl>
    <w:p/>
    <w:p>
      <w:r>
        <w:rPr>
          <w:i/>
          <w:color w:val="5A6A72"/>
          <w:sz w:val="18"/>
        </w:rPr>
        <w:t>Prüfen Sie außerdem die Art-35(4)-Liste Ihrer Aufsichtsbehörde — z. B. die Muss-Liste der DSK (DE), die 14-Kategorien-Liste der CNIL (FR), die UK-Hochrisiko-Liste der ICO, die norwegische Liste des Datatilsynet.</w:t>
      </w:r>
    </w:p>
    <w:p>
      <w:pPr>
        <w:pStyle w:val="Heading1"/>
      </w:pPr>
      <w:r>
        <w:t>3. Ergebnis der Vorprüfung</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DSFA erforderlich?</w:t>
            </w:r>
          </w:p>
        </w:tc>
        <w:tc>
          <w:tcPr>
            <w:tcW w:type="dxa" w:w="4320"/>
          </w:tcPr>
          <w:p>
            <w:r>
              <w:rPr>
                <w:i/>
                <w:color w:val="5A6A72"/>
                <w:sz w:val="17"/>
              </w:rPr>
              <w:t>Ja / Nein — mit den Auslösern: Fall des Art 35(3), Zahl der erfüllten WP248-Kriterien oder Eintrag einer Art-35(4)-Liste (z. B. DSK-Muss-Liste)</w:t>
            </w:r>
          </w:p>
        </w:tc>
      </w:tr>
      <w:tr>
        <w:tc>
          <w:tcPr>
            <w:tcW w:type="dxa" w:w="4320"/>
            <w:shd w:val="clear" w:fill="F5F1E8"/>
          </w:tcPr>
          <w:p>
            <w:r>
              <w:rPr>
                <w:b/>
                <w:color w:val="0A2733"/>
                <w:sz w:val="17"/>
              </w:rPr>
              <w:t>Falls nein</w:t>
            </w:r>
          </w:p>
        </w:tc>
        <w:tc>
          <w:tcPr>
            <w:tcW w:type="dxa" w:w="4320"/>
          </w:tcPr>
          <w:p>
            <w:r>
              <w:rPr>
                <w:i w:val="0"/>
                <w:color w:val="5A6A72"/>
                <w:sz w:val="17"/>
              </w:rPr>
              <w:t>Begründung dokumentieren und dieses Dokument aufbewahren — das dokumentierte ‚Nein' ist Rechenschaftsnachweis. Erneut prüfen, wenn sich die Verarbeitung ändert.</w:t>
            </w:r>
          </w:p>
        </w:tc>
      </w:tr>
    </w:tbl>
    <w:p/>
    <w:p>
      <w:pPr>
        <w:pStyle w:val="Heading1"/>
      </w:pPr>
      <w:r>
        <w:t>4. Systematische Beschreibung der Verarbeitung (Art 35(7)(a))</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Art, Umfang, Umstände, Zwecke</w:t>
            </w:r>
          </w:p>
        </w:tc>
        <w:tc>
          <w:tcPr>
            <w:tcW w:type="dxa" w:w="4320"/>
          </w:tcPr>
          <w:p>
            <w:r>
              <w:rPr>
                <w:i/>
                <w:color w:val="5A6A72"/>
                <w:sz w:val="17"/>
              </w:rPr>
              <w:t>Was die Verarbeitung tut, für wen, in welchem Umfang und warum</w:t>
            </w:r>
          </w:p>
        </w:tc>
      </w:tr>
      <w:tr>
        <w:tc>
          <w:tcPr>
            <w:tcW w:type="dxa" w:w="4320"/>
            <w:shd w:val="clear" w:fill="F5F1E8"/>
          </w:tcPr>
          <w:p>
            <w:r>
              <w:rPr>
                <w:b/>
                <w:color w:val="0A2733"/>
                <w:sz w:val="17"/>
              </w:rPr>
              <w:t>Kategorien personenbezogener Daten</w:t>
            </w:r>
          </w:p>
        </w:tc>
        <w:tc>
          <w:tcPr>
            <w:tcW w:type="dxa" w:w="4320"/>
          </w:tcPr>
          <w:p>
            <w:r>
              <w:rPr>
                <w:i w:val="0"/>
                <w:color w:val="5A6A72"/>
                <w:sz w:val="17"/>
              </w:rPr>
              <w:t>Besondere Kategorien (Art 9) ausdrücklich kennzeichnen</w:t>
            </w:r>
          </w:p>
        </w:tc>
      </w:tr>
      <w:tr>
        <w:tc>
          <w:tcPr>
            <w:tcW w:type="dxa" w:w="4320"/>
            <w:shd w:val="clear" w:fill="F5F1E8"/>
          </w:tcPr>
          <w:p>
            <w:r>
              <w:rPr>
                <w:b/>
                <w:color w:val="0A2733"/>
                <w:sz w:val="17"/>
              </w:rPr>
              <w:t>Kategorien betroffener Personen</w:t>
            </w:r>
          </w:p>
        </w:tc>
        <w:tc>
          <w:tcPr>
            <w:tcW w:type="dxa" w:w="4320"/>
          </w:tcPr>
          <w:p>
            <w:r>
              <w:rPr>
                <w:i w:val="0"/>
                <w:color w:val="5A6A72"/>
                <w:sz w:val="17"/>
              </w:rPr>
              <w:t>Schutzbedürftige Gruppen kennzeichnen (Kinder, Beschäftigte, Patienten)</w:t>
            </w:r>
          </w:p>
        </w:tc>
      </w:tr>
      <w:tr>
        <w:tc>
          <w:tcPr>
            <w:tcW w:type="dxa" w:w="4320"/>
            <w:shd w:val="clear" w:fill="F5F1E8"/>
          </w:tcPr>
          <w:p>
            <w:r>
              <w:rPr>
                <w:b/>
                <w:color w:val="0A2733"/>
                <w:sz w:val="17"/>
              </w:rPr>
              <w:t>Empfänger</w:t>
            </w:r>
          </w:p>
        </w:tc>
        <w:tc>
          <w:tcPr>
            <w:tcW w:type="dxa" w:w="4320"/>
          </w:tcPr>
          <w:p>
            <w:r>
              <w:rPr>
                <w:i/>
                <w:color w:val="5A6A72"/>
                <w:sz w:val="17"/>
              </w:rPr>
              <w:t>Interne Teams, Auftragsverarbeiter, Dritte</w:t>
            </w:r>
          </w:p>
        </w:tc>
      </w:tr>
      <w:tr>
        <w:tc>
          <w:tcPr>
            <w:tcW w:type="dxa" w:w="4320"/>
            <w:shd w:val="clear" w:fill="F5F1E8"/>
          </w:tcPr>
          <w:p>
            <w:r>
              <w:rPr>
                <w:b/>
                <w:color w:val="0A2733"/>
                <w:sz w:val="17"/>
              </w:rPr>
              <w:t>Drittlandtransfers</w:t>
            </w:r>
          </w:p>
        </w:tc>
        <w:tc>
          <w:tcPr>
            <w:tcW w:type="dxa" w:w="4320"/>
          </w:tcPr>
          <w:p>
            <w:r>
              <w:rPr>
                <w:i w:val="0"/>
                <w:color w:val="5A6A72"/>
                <w:sz w:val="17"/>
              </w:rPr>
              <w:t>Drittländer + Transfermechanismus (SCC, Angemessenheit)</w:t>
            </w:r>
          </w:p>
        </w:tc>
      </w:tr>
      <w:tr>
        <w:tc>
          <w:tcPr>
            <w:tcW w:type="dxa" w:w="4320"/>
            <w:shd w:val="clear" w:fill="F5F1E8"/>
          </w:tcPr>
          <w:p>
            <w:r>
              <w:rPr>
                <w:b/>
                <w:color w:val="0A2733"/>
                <w:sz w:val="17"/>
              </w:rPr>
              <w:t>Speicherdauer</w:t>
            </w:r>
          </w:p>
        </w:tc>
        <w:tc>
          <w:tcPr>
            <w:tcW w:type="dxa" w:w="4320"/>
          </w:tcPr>
          <w:p>
            <w:r>
              <w:rPr>
                <w:i/>
                <w:color w:val="5A6A72"/>
                <w:sz w:val="17"/>
              </w:rPr>
              <w:t>Frist und Löschauslöser</w:t>
            </w:r>
          </w:p>
        </w:tc>
      </w:tr>
      <w:tr>
        <w:tc>
          <w:tcPr>
            <w:tcW w:type="dxa" w:w="4320"/>
            <w:shd w:val="clear" w:fill="F5F1E8"/>
          </w:tcPr>
          <w:p>
            <w:r>
              <w:rPr>
                <w:b/>
                <w:color w:val="0A2733"/>
                <w:sz w:val="17"/>
              </w:rPr>
              <w:t>Systeme und Datenflüsse</w:t>
            </w:r>
          </w:p>
        </w:tc>
        <w:tc>
          <w:tcPr>
            <w:tcW w:type="dxa" w:w="4320"/>
          </w:tcPr>
          <w:p>
            <w:r>
              <w:rPr>
                <w:i/>
                <w:color w:val="5A6A72"/>
                <w:sz w:val="17"/>
              </w:rPr>
              <w:t>Wo die Daten liegen und sich bewegen; wenn vorhanden, Flussdiagramm beifügen</w:t>
            </w:r>
          </w:p>
        </w:tc>
      </w:tr>
      <w:tr>
        <w:tc>
          <w:tcPr>
            <w:tcW w:type="dxa" w:w="4320"/>
            <w:shd w:val="clear" w:fill="F5F1E8"/>
          </w:tcPr>
          <w:p>
            <w:r>
              <w:rPr>
                <w:b/>
                <w:color w:val="0A2733"/>
                <w:sz w:val="17"/>
              </w:rPr>
              <w:t>Verfolgtes berechtigtes Interesse</w:t>
            </w:r>
          </w:p>
        </w:tc>
        <w:tc>
          <w:tcPr>
            <w:tcW w:type="dxa" w:w="4320"/>
          </w:tcPr>
          <w:p>
            <w:r>
              <w:rPr>
                <w:i w:val="0"/>
                <w:color w:val="5A6A72"/>
                <w:sz w:val="17"/>
              </w:rPr>
              <w:t>Nur, wenn Art 6(1)(f) herangezogen wird</w:t>
            </w:r>
          </w:p>
        </w:tc>
      </w:tr>
    </w:tbl>
    <w:p/>
    <w:p>
      <w:pPr>
        <w:pStyle w:val="Heading1"/>
      </w:pPr>
      <w:r>
        <w:t>5. Konsultationsnachweis (Art 35(2), 35(9))</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Rat des DSB</w:t>
            </w:r>
          </w:p>
        </w:tc>
        <w:tc>
          <w:tcPr>
            <w:tcW w:type="dxa" w:w="4320"/>
          </w:tcPr>
          <w:p>
            <w:r>
              <w:rPr>
                <w:i w:val="0"/>
                <w:color w:val="5A6A72"/>
                <w:sz w:val="17"/>
              </w:rPr>
              <w:t>Pflicht, wo ein DSB benannt ist — Rat und Datum protokollieren</w:t>
            </w:r>
          </w:p>
        </w:tc>
      </w:tr>
      <w:tr>
        <w:tc>
          <w:tcPr>
            <w:tcW w:type="dxa" w:w="4320"/>
            <w:shd w:val="clear" w:fill="F5F1E8"/>
          </w:tcPr>
          <w:p>
            <w:r>
              <w:rPr>
                <w:b/>
                <w:color w:val="0A2733"/>
                <w:sz w:val="17"/>
              </w:rPr>
              <w:t>Standpunkt der betroffenen Personen</w:t>
            </w:r>
          </w:p>
        </w:tc>
        <w:tc>
          <w:tcPr>
            <w:tcW w:type="dxa" w:w="4320"/>
          </w:tcPr>
          <w:p>
            <w:r>
              <w:rPr>
                <w:i/>
                <w:color w:val="5A6A72"/>
                <w:sz w:val="17"/>
              </w:rPr>
              <w:t>Wo angemessen, den Standpunkt der Betroffenen oder ihrer Vertreter einholen; falls nicht eingeholt, Grund dokumentieren</w:t>
            </w:r>
          </w:p>
        </w:tc>
      </w:tr>
      <w:tr>
        <w:tc>
          <w:tcPr>
            <w:tcW w:type="dxa" w:w="4320"/>
            <w:shd w:val="clear" w:fill="F5F1E8"/>
          </w:tcPr>
          <w:p>
            <w:r>
              <w:rPr>
                <w:b/>
                <w:color w:val="0A2733"/>
                <w:sz w:val="17"/>
              </w:rPr>
              <w:t>Konsultierte Auftragsverarbeiter / Anbieter</w:t>
            </w:r>
          </w:p>
        </w:tc>
        <w:tc>
          <w:tcPr>
            <w:tcW w:type="dxa" w:w="4320"/>
          </w:tcPr>
          <w:p>
            <w:r>
              <w:rPr>
                <w:i/>
                <w:color w:val="5A6A72"/>
                <w:sz w:val="17"/>
              </w:rPr>
              <w:t>Z. B. geprüfte Dokumentation des KI-Anbieters</w:t>
            </w:r>
          </w:p>
        </w:tc>
      </w:tr>
    </w:tbl>
    <w:p/>
    <w:p>
      <w:pPr>
        <w:pStyle w:val="Heading1"/>
      </w:pPr>
      <w:r>
        <w:t>6. Notwendigkeit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Rechtsgrundlage</w:t>
            </w:r>
          </w:p>
        </w:tc>
        <w:tc>
          <w:tcPr>
            <w:tcW w:type="dxa" w:w="4320"/>
          </w:tcPr>
          <w:p>
            <w:r>
              <w:rPr>
                <w:i w:val="0"/>
                <w:color w:val="5A6A72"/>
                <w:sz w:val="17"/>
              </w:rPr>
              <w:t>Grundlage nach Art 6; Art-9-Bedingung bei besonderen Kategorien</w:t>
            </w:r>
          </w:p>
        </w:tc>
      </w:tr>
      <w:tr>
        <w:tc>
          <w:tcPr>
            <w:tcW w:type="dxa" w:w="4320"/>
            <w:shd w:val="clear" w:fill="F5F1E8"/>
          </w:tcPr>
          <w:p>
            <w:r>
              <w:rPr>
                <w:b/>
                <w:color w:val="0A2733"/>
                <w:sz w:val="17"/>
              </w:rPr>
              <w:t>Warum diese Verarbeitung den Zweck erreicht</w:t>
            </w:r>
          </w:p>
        </w:tc>
        <w:tc>
          <w:tcPr>
            <w:tcW w:type="dxa" w:w="4320"/>
          </w:tcPr>
          <w:p>
            <w:r>
              <w:rPr>
                <w:i/>
                <w:color w:val="5A6A72"/>
                <w:sz w:val="17"/>
              </w:rPr>
              <w:t>Die funktionale Begründung</w:t>
            </w:r>
          </w:p>
        </w:tc>
      </w:tr>
      <w:tr>
        <w:tc>
          <w:tcPr>
            <w:tcW w:type="dxa" w:w="4320"/>
            <w:shd w:val="clear" w:fill="F5F1E8"/>
          </w:tcPr>
          <w:p>
            <w:r>
              <w:rPr>
                <w:b/>
                <w:color w:val="0A2733"/>
                <w:sz w:val="17"/>
              </w:rPr>
              <w:t>Datenminimierung</w:t>
            </w:r>
          </w:p>
        </w:tc>
        <w:tc>
          <w:tcPr>
            <w:tcW w:type="dxa" w:w="4320"/>
          </w:tcPr>
          <w:p>
            <w:r>
              <w:rPr>
                <w:i/>
                <w:color w:val="5A6A72"/>
                <w:sz w:val="17"/>
              </w:rPr>
              <w:t>Was ausgeschlossen, aggregiert oder pseudonymisiert wurde</w:t>
            </w:r>
          </w:p>
        </w:tc>
      </w:tr>
    </w:tbl>
    <w:p/>
    <w:p>
      <w:pPr>
        <w:pStyle w:val="Heading1"/>
      </w:pPr>
      <w:r>
        <w:t>7. Verhältnismäßigkeit (Art 35(7)(b))</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Geprüfte weniger eingriffsintensive Alternativen</w:t>
            </w:r>
          </w:p>
        </w:tc>
        <w:tc>
          <w:tcPr>
            <w:tcW w:type="dxa" w:w="4320"/>
          </w:tcPr>
          <w:p>
            <w:r>
              <w:rPr>
                <w:i/>
                <w:color w:val="5A6A72"/>
                <w:sz w:val="17"/>
              </w:rPr>
              <w:t>Warum sie nicht genügen</w:t>
            </w:r>
          </w:p>
        </w:tc>
      </w:tr>
      <w:tr>
        <w:tc>
          <w:tcPr>
            <w:tcW w:type="dxa" w:w="4320"/>
            <w:shd w:val="clear" w:fill="F5F1E8"/>
          </w:tcPr>
          <w:p>
            <w:r>
              <w:rPr>
                <w:b/>
                <w:color w:val="0A2733"/>
                <w:sz w:val="17"/>
              </w:rPr>
              <w:t>Transparenz</w:t>
            </w:r>
          </w:p>
        </w:tc>
        <w:tc>
          <w:tcPr>
            <w:tcW w:type="dxa" w:w="4320"/>
          </w:tcPr>
          <w:p>
            <w:r>
              <w:rPr>
                <w:i/>
                <w:color w:val="5A6A72"/>
                <w:sz w:val="17"/>
              </w:rPr>
              <w:t>Wie die Betroffenen informiert werden</w:t>
            </w:r>
          </w:p>
        </w:tc>
      </w:tr>
      <w:tr>
        <w:tc>
          <w:tcPr>
            <w:tcW w:type="dxa" w:w="4320"/>
            <w:shd w:val="clear" w:fill="F5F1E8"/>
          </w:tcPr>
          <w:p>
            <w:r>
              <w:rPr>
                <w:b/>
                <w:color w:val="0A2733"/>
                <w:sz w:val="17"/>
              </w:rPr>
              <w:t>Unterstützung der Betroffenenrechte</w:t>
            </w:r>
          </w:p>
        </w:tc>
        <w:tc>
          <w:tcPr>
            <w:tcW w:type="dxa" w:w="4320"/>
          </w:tcPr>
          <w:p>
            <w:r>
              <w:rPr>
                <w:i/>
                <w:color w:val="5A6A72"/>
                <w:sz w:val="17"/>
              </w:rPr>
              <w:t>Wie Auskunft, Löschung, Widerspruch und Übertragbarkeit gewährleistet werden</w:t>
            </w:r>
          </w:p>
        </w:tc>
      </w:tr>
    </w:tbl>
    <w:p/>
    <w:p>
      <w:pPr>
        <w:pStyle w:val="Heading1"/>
      </w:pPr>
      <w:r>
        <w:t>8. Risikoidentifikation (Art 35(7)(c))</w:t>
      </w:r>
    </w:p>
    <w:p>
      <w:r>
        <w:rPr>
          <w:i/>
          <w:color w:val="5A6A72"/>
          <w:sz w:val="18"/>
        </w:rPr>
        <w:t>Risiken für die Rechte und Freiheiten der betroffenen Personen — keine Unternehmensrisiken. Berücksichtigen Sie: unbefugten Zugriff, Re-Identifizierung, Diskriminierung, Zweckentfremdung, Verlust der Vertraulichkeit, Unmöglichkeit der Rechtsausübung.</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ID</w:t>
            </w:r>
          </w:p>
        </w:tc>
        <w:tc>
          <w:tcPr>
            <w:tcW w:type="dxa" w:w="2160"/>
            <w:shd w:val="clear" w:fill="F2C744"/>
          </w:tcPr>
          <w:p>
            <w:r>
              <w:rPr>
                <w:b/>
                <w:color w:val="0A2733"/>
                <w:sz w:val="17"/>
              </w:rPr>
              <w:t>Risikobeschreibung</w:t>
            </w:r>
          </w:p>
        </w:tc>
        <w:tc>
          <w:tcPr>
            <w:tcW w:type="dxa" w:w="2160"/>
            <w:shd w:val="clear" w:fill="F2C744"/>
          </w:tcPr>
          <w:p>
            <w:r>
              <w:rPr>
                <w:b/>
                <w:color w:val="0A2733"/>
                <w:sz w:val="17"/>
              </w:rPr>
              <w:t>Eintrittswahrscheinlichkeit</w:t>
            </w:r>
          </w:p>
        </w:tc>
        <w:tc>
          <w:tcPr>
            <w:tcW w:type="dxa" w:w="2160"/>
            <w:shd w:val="clear" w:fill="F2C744"/>
          </w:tcPr>
          <w:p>
            <w:r>
              <w:rPr>
                <w:b/>
                <w:color w:val="0A2733"/>
                <w:sz w:val="17"/>
              </w:rPr>
              <w:t>Schwere</w:t>
            </w:r>
          </w:p>
        </w:tc>
      </w:tr>
      <w:tr>
        <w:tc>
          <w:tcPr>
            <w:tcW w:type="dxa" w:w="2160"/>
          </w:tcPr>
          <w:p>
            <w:r>
              <w:rPr>
                <w:i w:val="0"/>
                <w:color w:val="5A6A72"/>
                <w:sz w:val="17"/>
              </w:rPr>
              <w:t>R1</w:t>
            </w:r>
          </w:p>
        </w:tc>
        <w:tc>
          <w:tcPr>
            <w:tcW w:type="dxa" w:w="2160"/>
          </w:tcPr>
          <w:p>
            <w:r>
              <w:rPr>
                <w:i/>
                <w:color w:val="5A6A72"/>
                <w:sz w:val="17"/>
              </w:rPr>
              <w:t>Beschreiben Sie den Schaden für die betroffenen Personen</w:t>
            </w:r>
          </w:p>
        </w:tc>
        <w:tc>
          <w:tcPr>
            <w:tcW w:type="dxa" w:w="2160"/>
          </w:tcPr>
          <w:p>
            <w:r>
              <w:rPr>
                <w:i/>
                <w:color w:val="5A6A72"/>
                <w:sz w:val="17"/>
              </w:rPr>
              <w:t>Niedrig / Mittel / Hoch</w:t>
            </w:r>
          </w:p>
        </w:tc>
        <w:tc>
          <w:tcPr>
            <w:tcW w:type="dxa" w:w="2160"/>
          </w:tcPr>
          <w:p>
            <w:r>
              <w:rPr>
                <w:i/>
                <w:color w:val="5A6A72"/>
                <w:sz w:val="17"/>
              </w:rPr>
              <w:t>Niedrig / Mittel / Hoch</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R3</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9. Risikomatrix (3×3)</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r>
          </w:p>
        </w:tc>
        <w:tc>
          <w:tcPr>
            <w:tcW w:type="dxa" w:w="2160"/>
            <w:shd w:val="clear" w:fill="F2C744"/>
          </w:tcPr>
          <w:p>
            <w:r>
              <w:rPr>
                <w:b/>
                <w:color w:val="0A2733"/>
                <w:sz w:val="17"/>
              </w:rPr>
              <w:t>Schwere: Niedrig</w:t>
            </w:r>
          </w:p>
        </w:tc>
        <w:tc>
          <w:tcPr>
            <w:tcW w:type="dxa" w:w="2160"/>
            <w:shd w:val="clear" w:fill="F2C744"/>
          </w:tcPr>
          <w:p>
            <w:r>
              <w:rPr>
                <w:b/>
                <w:color w:val="0A2733"/>
                <w:sz w:val="17"/>
              </w:rPr>
              <w:t>Schwere: Mittel</w:t>
            </w:r>
          </w:p>
        </w:tc>
        <w:tc>
          <w:tcPr>
            <w:tcW w:type="dxa" w:w="2160"/>
            <w:shd w:val="clear" w:fill="F2C744"/>
          </w:tcPr>
          <w:p>
            <w:r>
              <w:rPr>
                <w:b/>
                <w:color w:val="0A2733"/>
                <w:sz w:val="17"/>
              </w:rPr>
              <w:t>Schwere: Hoch</w:t>
            </w:r>
          </w:p>
        </w:tc>
      </w:tr>
      <w:tr>
        <w:tc>
          <w:tcPr>
            <w:tcW w:type="dxa" w:w="2160"/>
          </w:tcPr>
          <w:p>
            <w:r>
              <w:rPr>
                <w:i w:val="0"/>
                <w:color w:val="5A6A72"/>
                <w:sz w:val="17"/>
              </w:rPr>
              <w:t>Wahrscheinlichkeit: Hoch</w:t>
            </w:r>
          </w:p>
        </w:tc>
        <w:tc>
          <w:tcPr>
            <w:tcW w:type="dxa" w:w="2160"/>
          </w:tcPr>
          <w:p>
            <w:r>
              <w:rPr>
                <w:i w:val="0"/>
                <w:color w:val="5A6A72"/>
                <w:sz w:val="17"/>
              </w:rPr>
              <w:t>Mittel</w:t>
            </w:r>
          </w:p>
        </w:tc>
        <w:tc>
          <w:tcPr>
            <w:tcW w:type="dxa" w:w="2160"/>
          </w:tcPr>
          <w:p>
            <w:r>
              <w:rPr>
                <w:i w:val="0"/>
                <w:color w:val="5A6A72"/>
                <w:sz w:val="17"/>
              </w:rPr>
              <w:t>Hoch</w:t>
            </w:r>
          </w:p>
        </w:tc>
        <w:tc>
          <w:tcPr>
            <w:tcW w:type="dxa" w:w="2160"/>
          </w:tcPr>
          <w:p>
            <w:r>
              <w:rPr>
                <w:i w:val="0"/>
                <w:color w:val="5A6A72"/>
                <w:sz w:val="17"/>
              </w:rPr>
              <w:t>Hoch</w:t>
            </w:r>
          </w:p>
        </w:tc>
      </w:tr>
      <w:tr>
        <w:tc>
          <w:tcPr>
            <w:tcW w:type="dxa" w:w="2160"/>
          </w:tcPr>
          <w:p>
            <w:r>
              <w:rPr>
                <w:i w:val="0"/>
                <w:color w:val="5A6A72"/>
                <w:sz w:val="17"/>
              </w:rPr>
              <w:t>Wahrscheinlichkeit: Mittel</w:t>
            </w:r>
          </w:p>
        </w:tc>
        <w:tc>
          <w:tcPr>
            <w:tcW w:type="dxa" w:w="2160"/>
          </w:tcPr>
          <w:p>
            <w:r>
              <w:rPr>
                <w:i/>
                <w:color w:val="5A6A72"/>
                <w:sz w:val="17"/>
              </w:rPr>
              <w:t>Niedrig</w:t>
            </w:r>
          </w:p>
        </w:tc>
        <w:tc>
          <w:tcPr>
            <w:tcW w:type="dxa" w:w="2160"/>
          </w:tcPr>
          <w:p>
            <w:r>
              <w:rPr>
                <w:i w:val="0"/>
                <w:color w:val="5A6A72"/>
                <w:sz w:val="17"/>
              </w:rPr>
              <w:t>Mittel</w:t>
            </w:r>
          </w:p>
        </w:tc>
        <w:tc>
          <w:tcPr>
            <w:tcW w:type="dxa" w:w="2160"/>
          </w:tcPr>
          <w:p>
            <w:r>
              <w:rPr>
                <w:i w:val="0"/>
                <w:color w:val="5A6A72"/>
                <w:sz w:val="17"/>
              </w:rPr>
              <w:t>Hoch</w:t>
            </w:r>
          </w:p>
        </w:tc>
      </w:tr>
      <w:tr>
        <w:tc>
          <w:tcPr>
            <w:tcW w:type="dxa" w:w="2160"/>
          </w:tcPr>
          <w:p>
            <w:r>
              <w:rPr>
                <w:i w:val="0"/>
                <w:color w:val="5A6A72"/>
                <w:sz w:val="17"/>
              </w:rPr>
              <w:t>Wahrscheinlichkeit: Niedrig</w:t>
            </w:r>
          </w:p>
        </w:tc>
        <w:tc>
          <w:tcPr>
            <w:tcW w:type="dxa" w:w="2160"/>
          </w:tcPr>
          <w:p>
            <w:r>
              <w:rPr>
                <w:i/>
                <w:color w:val="5A6A72"/>
                <w:sz w:val="17"/>
              </w:rPr>
              <w:t>Niedrig</w:t>
            </w:r>
          </w:p>
        </w:tc>
        <w:tc>
          <w:tcPr>
            <w:tcW w:type="dxa" w:w="2160"/>
          </w:tcPr>
          <w:p>
            <w:r>
              <w:rPr>
                <w:i/>
                <w:color w:val="5A6A72"/>
                <w:sz w:val="17"/>
              </w:rPr>
              <w:t>Niedrig</w:t>
            </w:r>
          </w:p>
        </w:tc>
        <w:tc>
          <w:tcPr>
            <w:tcW w:type="dxa" w:w="2160"/>
          </w:tcPr>
          <w:p>
            <w:r>
              <w:rPr>
                <w:i w:val="0"/>
                <w:color w:val="5A6A72"/>
                <w:sz w:val="17"/>
              </w:rPr>
              <w:t>Mittel</w:t>
            </w:r>
          </w:p>
        </w:tc>
      </w:tr>
    </w:tbl>
    <w:p/>
    <w:p>
      <w:pPr>
        <w:pStyle w:val="Heading1"/>
      </w:pPr>
      <w:r>
        <w:t>10. Ausgearbeitete Beispielzeile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fill="F2C744"/>
          </w:tcPr>
          <w:p>
            <w:r>
              <w:rPr>
                <w:b/>
                <w:color w:val="0A2733"/>
                <w:sz w:val="17"/>
              </w:rPr>
              <w:t>ID</w:t>
            </w:r>
          </w:p>
        </w:tc>
        <w:tc>
          <w:tcPr>
            <w:tcW w:type="dxa" w:w="1440"/>
            <w:shd w:val="clear" w:fill="F2C744"/>
          </w:tcPr>
          <w:p>
            <w:r>
              <w:rPr>
                <w:b/>
                <w:color w:val="0A2733"/>
                <w:sz w:val="17"/>
              </w:rPr>
              <w:t>Risiko</w:t>
            </w:r>
          </w:p>
        </w:tc>
        <w:tc>
          <w:tcPr>
            <w:tcW w:type="dxa" w:w="1440"/>
            <w:shd w:val="clear" w:fill="F2C744"/>
          </w:tcPr>
          <w:p>
            <w:r>
              <w:rPr>
                <w:b/>
                <w:color w:val="0A2733"/>
                <w:sz w:val="17"/>
              </w:rPr>
              <w:t>Wahrscheinlichkeit</w:t>
            </w:r>
          </w:p>
        </w:tc>
        <w:tc>
          <w:tcPr>
            <w:tcW w:type="dxa" w:w="1440"/>
            <w:shd w:val="clear" w:fill="F2C744"/>
          </w:tcPr>
          <w:p>
            <w:r>
              <w:rPr>
                <w:b/>
                <w:color w:val="0A2733"/>
                <w:sz w:val="17"/>
              </w:rPr>
              <w:t>Schwere</w:t>
            </w:r>
          </w:p>
        </w:tc>
        <w:tc>
          <w:tcPr>
            <w:tcW w:type="dxa" w:w="1440"/>
            <w:shd w:val="clear" w:fill="F2C744"/>
          </w:tcPr>
          <w:p>
            <w:r>
              <w:rPr>
                <w:b/>
                <w:color w:val="0A2733"/>
                <w:sz w:val="17"/>
              </w:rPr>
              <w:t>Maßnahme</w:t>
            </w:r>
          </w:p>
        </w:tc>
        <w:tc>
          <w:tcPr>
            <w:tcW w:type="dxa" w:w="1440"/>
            <w:shd w:val="clear" w:fill="F2C744"/>
          </w:tcPr>
          <w:p>
            <w:r>
              <w:rPr>
                <w:b/>
                <w:color w:val="0A2733"/>
                <w:sz w:val="17"/>
              </w:rPr>
              <w:t>Restrisiko</w:t>
            </w:r>
          </w:p>
        </w:tc>
      </w:tr>
      <w:tr>
        <w:tc>
          <w:tcPr>
            <w:tcW w:type="dxa" w:w="1440"/>
          </w:tcPr>
          <w:p>
            <w:r>
              <w:rPr>
                <w:i w:val="0"/>
                <w:color w:val="5A6A72"/>
                <w:sz w:val="17"/>
              </w:rPr>
              <w:t>EX1</w:t>
            </w:r>
          </w:p>
        </w:tc>
        <w:tc>
          <w:tcPr>
            <w:tcW w:type="dxa" w:w="1440"/>
          </w:tcPr>
          <w:p>
            <w:r>
              <w:rPr>
                <w:i w:val="0"/>
                <w:color w:val="5A6A72"/>
                <w:sz w:val="17"/>
              </w:rPr>
              <w:t>Unbefugter Zugriff auf KI-Logs des Kundensupports mit personenbezogenen Daten</w:t>
            </w:r>
          </w:p>
        </w:tc>
        <w:tc>
          <w:tcPr>
            <w:tcW w:type="dxa" w:w="1440"/>
          </w:tcPr>
          <w:p>
            <w:r>
              <w:rPr>
                <w:i w:val="0"/>
                <w:color w:val="5A6A72"/>
                <w:sz w:val="17"/>
              </w:rPr>
              <w:t>Mittel</w:t>
            </w:r>
          </w:p>
        </w:tc>
        <w:tc>
          <w:tcPr>
            <w:tcW w:type="dxa" w:w="1440"/>
          </w:tcPr>
          <w:p>
            <w:r>
              <w:rPr>
                <w:i w:val="0"/>
                <w:color w:val="5A6A72"/>
                <w:sz w:val="17"/>
              </w:rPr>
              <w:t>Hoch</w:t>
            </w:r>
          </w:p>
        </w:tc>
        <w:tc>
          <w:tcPr>
            <w:tcW w:type="dxa" w:w="1440"/>
          </w:tcPr>
          <w:p>
            <w:r>
              <w:rPr>
                <w:i w:val="0"/>
                <w:color w:val="5A6A72"/>
                <w:sz w:val="17"/>
              </w:rPr>
              <w:t>Zugriff auf die Bereitschaftsrolle im Support beschränkt; Logs nach 24 h pseudonymisiert; Speicherfrist auf 30 Tage verkürzt; Zugriffe auditiert</w:t>
            </w:r>
          </w:p>
        </w:tc>
        <w:tc>
          <w:tcPr>
            <w:tcW w:type="dxa" w:w="1440"/>
          </w:tcPr>
          <w:p>
            <w:r>
              <w:rPr>
                <w:i/>
                <w:color w:val="5A6A72"/>
                <w:sz w:val="17"/>
              </w:rPr>
              <w:t>Niedrig</w:t>
            </w:r>
          </w:p>
        </w:tc>
      </w:tr>
    </w:tbl>
    <w:p/>
    <w:p>
      <w:pPr>
        <w:pStyle w:val="Heading1"/>
      </w:pPr>
      <w:r>
        <w:t>11. Abhilfemaßnahmen (Art 35(7)(d))</w:t>
      </w:r>
    </w:p>
    <w:p>
      <w:r>
        <w:rPr>
          <w:i/>
          <w:color w:val="5A6A72"/>
          <w:sz w:val="18"/>
        </w:rPr>
        <w:t>Eine konkrete Maßnahme je Risiko. Generische Aussagen senken keine Werte; konkrete TOMs (Art 32), Zugriffskontrollen, Pseudonymisierung und kürzere Speicherfristen schon.</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Risiko-ID</w:t>
            </w:r>
          </w:p>
        </w:tc>
        <w:tc>
          <w:tcPr>
            <w:tcW w:type="dxa" w:w="2160"/>
            <w:shd w:val="clear" w:fill="F2C744"/>
          </w:tcPr>
          <w:p>
            <w:r>
              <w:rPr>
                <w:b/>
                <w:color w:val="0A2733"/>
                <w:sz w:val="17"/>
              </w:rPr>
              <w:t>Maßnahme (konkret)</w:t>
            </w:r>
          </w:p>
        </w:tc>
        <w:tc>
          <w:tcPr>
            <w:tcW w:type="dxa" w:w="2160"/>
            <w:shd w:val="clear" w:fill="F2C744"/>
          </w:tcPr>
          <w:p>
            <w:r>
              <w:rPr>
                <w:b/>
                <w:color w:val="0A2733"/>
                <w:sz w:val="17"/>
              </w:rPr>
              <w:t>Restwahrscheinlichkeit</w:t>
            </w:r>
          </w:p>
        </w:tc>
        <w:tc>
          <w:tcPr>
            <w:tcW w:type="dxa" w:w="2160"/>
            <w:shd w:val="clear" w:fill="F2C744"/>
          </w:tcPr>
          <w:p>
            <w:r>
              <w:rPr>
                <w:b/>
                <w:color w:val="0A2733"/>
                <w:sz w:val="17"/>
              </w:rPr>
              <w:t>Restschwere</w:t>
            </w:r>
          </w:p>
        </w:tc>
      </w:tr>
      <w:tr>
        <w:tc>
          <w:tcPr>
            <w:tcW w:type="dxa" w:w="2160"/>
          </w:tcPr>
          <w:p>
            <w:r>
              <w:rPr>
                <w:i w:val="0"/>
                <w:color w:val="5A6A72"/>
                <w:sz w:val="17"/>
              </w:rPr>
              <w:t>R1</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r>
        <w:tc>
          <w:tcPr>
            <w:tcW w:type="dxa" w:w="2160"/>
          </w:tcPr>
          <w:p>
            <w:r>
              <w:rPr>
                <w:i w:val="0"/>
                <w:color w:val="5A6A72"/>
                <w:sz w:val="17"/>
              </w:rPr>
              <w:t>R2</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pPr>
        <w:pStyle w:val="Heading1"/>
      </w:pPr>
      <w:r>
        <w:t>12. Restrisiko &amp; Entscheidung zur vorherigen Konsultation (Artikel 36)</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Gesamtrestrisiko</w:t>
            </w:r>
          </w:p>
        </w:tc>
        <w:tc>
          <w:tcPr>
            <w:tcW w:type="dxa" w:w="4320"/>
          </w:tcPr>
          <w:p>
            <w:r>
              <w:rPr>
                <w:i/>
                <w:color w:val="5A6A72"/>
                <w:sz w:val="17"/>
              </w:rPr>
              <w:t>Niedrig / Mittel / Hoch — nach allen Maßnahmen</w:t>
            </w:r>
          </w:p>
        </w:tc>
      </w:tr>
      <w:tr>
        <w:tc>
          <w:tcPr>
            <w:tcW w:type="dxa" w:w="4320"/>
            <w:shd w:val="clear" w:fill="F5F1E8"/>
          </w:tcPr>
          <w:p>
            <w:r>
              <w:rPr>
                <w:b/>
                <w:color w:val="0A2733"/>
                <w:sz w:val="17"/>
              </w:rPr>
              <w:t>Vorherige Konsultation erforderlich?</w:t>
            </w:r>
          </w:p>
        </w:tc>
        <w:tc>
          <w:tcPr>
            <w:tcW w:type="dxa" w:w="4320"/>
          </w:tcPr>
          <w:p>
            <w:r>
              <w:rPr>
                <w:i/>
                <w:color w:val="5A6A72"/>
                <w:sz w:val="17"/>
              </w:rPr>
              <w:t>Bleibt das Restrisiko HOCH: Konsultieren Sie die Aufsichtsbehörde VOR der Verarbeitung (Art 36). Schriftliche Empfehlung binnen 8 Wochen, verlängerbar um 6 bei komplexen Verarbeitungen.</w:t>
            </w:r>
          </w:p>
        </w:tc>
      </w:tr>
      <w:tr>
        <w:tc>
          <w:tcPr>
            <w:tcW w:type="dxa" w:w="4320"/>
            <w:shd w:val="clear" w:fill="F5F1E8"/>
          </w:tcPr>
          <w:p>
            <w:r>
              <w:rPr>
                <w:b/>
                <w:color w:val="0A2733"/>
                <w:sz w:val="17"/>
              </w:rPr>
              <w:t>Behörde konsultiert / Antwort</w:t>
            </w:r>
          </w:p>
        </w:tc>
        <w:tc>
          <w:tcPr>
            <w:tcW w:type="dxa" w:w="4320"/>
          </w:tcPr>
          <w:p>
            <w:r>
              <w:rPr>
                <w:i/>
                <w:color w:val="5A6A72"/>
                <w:sz w:val="17"/>
              </w:rPr>
              <w:t>Datum, Referenz, Ergebnis — oder n/a</w:t>
            </w:r>
          </w:p>
        </w:tc>
      </w:tr>
    </w:tbl>
    <w:p/>
    <w:p>
      <w:pPr>
        <w:pStyle w:val="Heading1"/>
      </w:pPr>
      <w:r>
        <w:t>13. Freigabe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Freigabe des Verantwortlichen</w:t>
            </w:r>
          </w:p>
        </w:tc>
        <w:tc>
          <w:tcPr>
            <w:tcW w:type="dxa" w:w="4320"/>
          </w:tcPr>
          <w:p>
            <w:r>
              <w:rPr>
                <w:i/>
                <w:color w:val="5A6A72"/>
                <w:sz w:val="17"/>
              </w:rPr>
              <w:t>Name, Funktion, Datum</w:t>
            </w:r>
          </w:p>
        </w:tc>
      </w:tr>
      <w:tr>
        <w:tc>
          <w:tcPr>
            <w:tcW w:type="dxa" w:w="4320"/>
            <w:shd w:val="clear" w:fill="F5F1E8"/>
          </w:tcPr>
          <w:p>
            <w:r>
              <w:rPr>
                <w:b/>
                <w:color w:val="0A2733"/>
                <w:sz w:val="17"/>
              </w:rPr>
              <w:t>DSB-Stellungnahme protokolliert</w:t>
            </w:r>
          </w:p>
        </w:tc>
        <w:tc>
          <w:tcPr>
            <w:tcW w:type="dxa" w:w="4320"/>
          </w:tcPr>
          <w:p>
            <w:r>
              <w:rPr>
                <w:i/>
                <w:color w:val="5A6A72"/>
                <w:sz w:val="17"/>
              </w:rPr>
              <w:t>Ja / Nein — Datum</w:t>
            </w:r>
          </w:p>
        </w:tc>
      </w:tr>
      <w:tr>
        <w:tc>
          <w:tcPr>
            <w:tcW w:type="dxa" w:w="4320"/>
            <w:shd w:val="clear" w:fill="F5F1E8"/>
          </w:tcPr>
          <w:p>
            <w:r>
              <w:rPr>
                <w:b/>
                <w:color w:val="0A2733"/>
                <w:sz w:val="17"/>
              </w:rPr>
              <w:t>Auflagen</w:t>
            </w:r>
          </w:p>
        </w:tc>
        <w:tc>
          <w:tcPr>
            <w:tcW w:type="dxa" w:w="4320"/>
          </w:tcPr>
          <w:p>
            <w:r>
              <w:rPr>
                <w:i/>
                <w:color w:val="5A6A72"/>
                <w:sz w:val="17"/>
              </w:rPr>
              <w:t>Z. B. Neubewertung nach 12 Monaten oder vor der Skalierung</w:t>
            </w:r>
          </w:p>
        </w:tc>
      </w:tr>
    </w:tbl>
    <w:p/>
    <w:p>
      <w:pPr>
        <w:pStyle w:val="Heading1"/>
      </w:pPr>
      <w:r>
        <w:t>14. Überprüfungsprotokoll (Art 35(11))</w:t>
      </w:r>
    </w:p>
    <w:p>
      <w:r>
        <w:rPr>
          <w:i/>
          <w:color w:val="5A6A72"/>
          <w:sz w:val="18"/>
        </w:rPr>
        <w:t>Überprüfung spätestens bei veränderter Risikolage — eine neue Datenkategorie, ein neues KI-Modell, ein neuer Empfänger, ein neuer Zweck.</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F2C744"/>
          </w:tcPr>
          <w:p>
            <w:r>
              <w:rPr>
                <w:b/>
                <w:color w:val="0A2733"/>
                <w:sz w:val="17"/>
              </w:rPr>
              <w:t>Datum</w:t>
            </w:r>
          </w:p>
        </w:tc>
        <w:tc>
          <w:tcPr>
            <w:tcW w:type="dxa" w:w="2160"/>
            <w:shd w:val="clear" w:fill="F2C744"/>
          </w:tcPr>
          <w:p>
            <w:r>
              <w:rPr>
                <w:b/>
                <w:color w:val="0A2733"/>
                <w:sz w:val="17"/>
              </w:rPr>
              <w:t>Auslöser</w:t>
            </w:r>
          </w:p>
        </w:tc>
        <w:tc>
          <w:tcPr>
            <w:tcW w:type="dxa" w:w="2160"/>
            <w:shd w:val="clear" w:fill="F2C744"/>
          </w:tcPr>
          <w:p>
            <w:r>
              <w:rPr>
                <w:b/>
                <w:color w:val="0A2733"/>
                <w:sz w:val="17"/>
              </w:rPr>
              <w:t>Änderung</w:t>
            </w:r>
          </w:p>
        </w:tc>
        <w:tc>
          <w:tcPr>
            <w:tcW w:type="dxa" w:w="2160"/>
            <w:shd w:val="clear" w:fill="F2C744"/>
          </w:tcPr>
          <w:p>
            <w:r>
              <w:rPr>
                <w:b/>
                <w:color w:val="0A2733"/>
                <w:sz w:val="17"/>
              </w:rPr>
              <w:t>Ergebnis</w:t>
            </w:r>
          </w:p>
        </w:tc>
      </w:tr>
      <w:tr>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c>
          <w:tcPr>
            <w:tcW w:type="dxa" w:w="2160"/>
          </w:tcPr>
          <w:p>
            <w:r>
              <w:rPr>
                <w:i w:val="0"/>
                <w:color w:val="5A6A72"/>
                <w:sz w:val="17"/>
              </w:rPr>
              <w:t>…</w:t>
            </w:r>
          </w:p>
        </w:tc>
      </w:tr>
    </w:tbl>
    <w:p/>
    <w:p>
      <w:r/>
    </w:p>
    <w:p>
      <w:pPr>
        <w:pStyle w:val="Heading1"/>
      </w:pPr>
      <w:r>
        <w:t>KI-Annex — KI/LLM-Funktionen und die EU-KI-Verordnung</w:t>
      </w:r>
    </w:p>
    <w:p>
      <w:r>
        <w:rPr>
          <w:i/>
          <w:color w:val="5A6A72"/>
          <w:sz w:val="18"/>
        </w:rPr>
        <w:t>Für jede KI-gestützte Verarbeitung ausfüllen (WP248-Kriterium 8, typischerweise plus 1, 2 und 5). Für Hochrisiko-KI-Systeme, bei denen Sie Betreiber im Anwendungsbereich des Art 27 der EU-KI-Verordnung sind, kann die Grundrechte-Folgenabschätzung (FRIA) gemeinsam mit dieser DSFA dokumentiert werden — keine Bewertung ersetzt die andere.</w:t>
      </w:r>
    </w:p>
    <w:tbl>
      <w:tblPr>
        <w:tblStyle w:val="TableGrid"/>
        <w:tblW w:type="auto" w:w="0"/>
        <w:tblLook w:firstColumn="1" w:firstRow="1" w:lastColumn="0" w:lastRow="0" w:noHBand="0" w:noVBand="1" w:val="04A0"/>
      </w:tblPr>
      <w:tblGrid>
        <w:gridCol w:w="4320"/>
        <w:gridCol w:w="4320"/>
      </w:tblGrid>
      <w:tr>
        <w:tc>
          <w:tcPr>
            <w:tcW w:type="dxa" w:w="4320"/>
            <w:shd w:val="clear" w:fill="F5F1E8"/>
          </w:tcPr>
          <w:p>
            <w:r>
              <w:rPr>
                <w:b/>
                <w:color w:val="0A2733"/>
                <w:sz w:val="17"/>
              </w:rPr>
              <w:t>Modell / System</w:t>
            </w:r>
          </w:p>
        </w:tc>
        <w:tc>
          <w:tcPr>
            <w:tcW w:type="dxa" w:w="4320"/>
          </w:tcPr>
          <w:p>
            <w:r>
              <w:rPr>
                <w:i w:val="0"/>
                <w:color w:val="5A6A72"/>
                <w:sz w:val="17"/>
              </w:rPr>
              <w:t>Anbieter, Modell, Version</w:t>
            </w:r>
          </w:p>
        </w:tc>
      </w:tr>
      <w:tr>
        <w:tc>
          <w:tcPr>
            <w:tcW w:type="dxa" w:w="4320"/>
            <w:shd w:val="clear" w:fill="F5F1E8"/>
          </w:tcPr>
          <w:p>
            <w:r>
              <w:rPr>
                <w:b/>
                <w:color w:val="0A2733"/>
                <w:sz w:val="17"/>
              </w:rPr>
              <w:t>Herkunft der Trainingsdaten</w:t>
            </w:r>
          </w:p>
        </w:tc>
        <w:tc>
          <w:tcPr>
            <w:tcW w:type="dxa" w:w="4320"/>
          </w:tcPr>
          <w:p>
            <w:r>
              <w:rPr>
                <w:i/>
                <w:color w:val="5A6A72"/>
                <w:sz w:val="17"/>
              </w:rPr>
              <w:t>Personenbezogene Daten in Trainings-/Fine-Tuning-Daten? Anbieterdokumentation geprüft?</w:t>
            </w:r>
          </w:p>
        </w:tc>
      </w:tr>
      <w:tr>
        <w:tc>
          <w:tcPr>
            <w:tcW w:type="dxa" w:w="4320"/>
            <w:shd w:val="clear" w:fill="F5F1E8"/>
          </w:tcPr>
          <w:p>
            <w:r>
              <w:rPr>
                <w:b/>
                <w:color w:val="0A2733"/>
                <w:sz w:val="17"/>
              </w:rPr>
              <w:t>Automatisierte Entscheidungen &amp; Wirkungen</w:t>
            </w:r>
          </w:p>
        </w:tc>
        <w:tc>
          <w:tcPr>
            <w:tcW w:type="dxa" w:w="4320"/>
          </w:tcPr>
          <w:p>
            <w:r>
              <w:rPr>
                <w:i w:val="0"/>
                <w:color w:val="5A6A72"/>
                <w:sz w:val="17"/>
              </w:rPr>
              <w:t>Erzeugt der Output Rechtswirkung oder ähnlich erhebliche Wirkung (Art 22 DSGVO)? Mensch in der Schleife?</w:t>
            </w:r>
          </w:p>
        </w:tc>
      </w:tr>
      <w:tr>
        <w:tc>
          <w:tcPr>
            <w:tcW w:type="dxa" w:w="4320"/>
            <w:shd w:val="clear" w:fill="F5F1E8"/>
          </w:tcPr>
          <w:p>
            <w:r>
              <w:rPr>
                <w:b/>
                <w:color w:val="0A2733"/>
                <w:sz w:val="17"/>
              </w:rPr>
              <w:t>Erklärbarkeit &amp; Aufsicht</w:t>
            </w:r>
          </w:p>
        </w:tc>
        <w:tc>
          <w:tcPr>
            <w:tcW w:type="dxa" w:w="4320"/>
          </w:tcPr>
          <w:p>
            <w:r>
              <w:rPr>
                <w:i w:val="0"/>
                <w:color w:val="5A6A72"/>
                <w:sz w:val="17"/>
              </w:rPr>
              <w:t>Können Ergebnisse den Betroffenen erklärt werden? Welche Aufsichtsmaßnahmen gelten?</w:t>
            </w:r>
          </w:p>
        </w:tc>
      </w:tr>
      <w:tr>
        <w:tc>
          <w:tcPr>
            <w:tcW w:type="dxa" w:w="4320"/>
            <w:shd w:val="clear" w:fill="F5F1E8"/>
          </w:tcPr>
          <w:p>
            <w:r>
              <w:rPr>
                <w:b/>
                <w:color w:val="0A2733"/>
                <w:sz w:val="17"/>
              </w:rPr>
              <w:t>Bias-/Genauigkeitsrisiken</w:t>
            </w:r>
          </w:p>
        </w:tc>
        <w:tc>
          <w:tcPr>
            <w:tcW w:type="dxa" w:w="4320"/>
          </w:tcPr>
          <w:p>
            <w:r>
              <w:rPr>
                <w:i w:val="0"/>
                <w:color w:val="5A6A72"/>
                <w:sz w:val="17"/>
              </w:rPr>
              <w:t>Durchgeführte Tests; bekannte Fehlermodi; Monitoring-Plan</w:t>
            </w:r>
          </w:p>
        </w:tc>
      </w:tr>
      <w:tr>
        <w:tc>
          <w:tcPr>
            <w:tcW w:type="dxa" w:w="4320"/>
            <w:shd w:val="clear" w:fill="F5F1E8"/>
          </w:tcPr>
          <w:p>
            <w:r>
              <w:rPr>
                <w:b/>
                <w:color w:val="0A2733"/>
                <w:sz w:val="17"/>
              </w:rPr>
              <w:t>Einstufung nach EU-KI-Verordnung</w:t>
            </w:r>
          </w:p>
        </w:tc>
        <w:tc>
          <w:tcPr>
            <w:tcW w:type="dxa" w:w="4320"/>
          </w:tcPr>
          <w:p>
            <w:r>
              <w:rPr>
                <w:i w:val="0"/>
                <w:color w:val="5A6A72"/>
                <w:sz w:val="17"/>
              </w:rPr>
              <w:t>Verboten / Hochrisiko / Begrenzt (Transparenz) / Minimal</w:t>
            </w:r>
          </w:p>
        </w:tc>
      </w:tr>
      <w:tr>
        <w:tc>
          <w:tcPr>
            <w:tcW w:type="dxa" w:w="4320"/>
            <w:shd w:val="clear" w:fill="F5F1E8"/>
          </w:tcPr>
          <w:p>
            <w:r>
              <w:rPr>
                <w:b/>
                <w:color w:val="0A2733"/>
                <w:sz w:val="17"/>
              </w:rPr>
              <w:t>FRIA-Referenz (Art 27)</w:t>
            </w:r>
          </w:p>
        </w:tc>
        <w:tc>
          <w:tcPr>
            <w:tcW w:type="dxa" w:w="4320"/>
          </w:tcPr>
          <w:p>
            <w:r>
              <w:rPr>
                <w:i/>
                <w:color w:val="5A6A72"/>
                <w:sz w:val="17"/>
              </w:rPr>
              <w:t>Falls Hochrisiko und im Anwendungsbereich: Referenz der gemeinsamen Dokumentation</w:t>
            </w:r>
          </w:p>
        </w:tc>
      </w:tr>
    </w:tbl>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DSFA-Vorlage v1.0 · 2026-07-22 · orbiqhq.com/de/vorlagen/datenschutz-folgenabschaetzung-vorlage · CC BY 4.0 · Keine Rechtsberatung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