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0A2733"/>
        </w:rPr>
        <w:t>DSGVO-Vorlage für die Subprozessor-Änderungsmitteilung</w:t>
      </w:r>
    </w:p>
    <w:p>
      <w:r>
        <w:rPr>
          <w:color w:val="667075"/>
          <w:sz w:val="18"/>
        </w:rPr>
        <w:t>Version 1.0 · Aktualisiert am 03.07.2026 · Kostenlose Vorlage von Orbiq · orbiqhq.com/templates/gdpr-subprocessor-change-notice</w:t>
      </w:r>
    </w:p>
    <w:tbl>
      <w:tblPr>
        <w:tblW w:type="auto" w:w="0"/>
        <w:tblLook w:firstColumn="1" w:firstRow="1" w:lastColumn="0" w:lastRow="0" w:noHBand="0" w:noVBand="1" w:val="04A0"/>
      </w:tblPr>
      <w:tblGrid>
        <w:gridCol w:w="8640"/>
      </w:tblGrid>
      <w:tr>
        <w:trPr>
          <w:trHeight w:val="85"/>
        </w:trPr>
        <w:tc>
          <w:tcPr>
            <w:tcW w:type="dxa" w:w="8640"/>
            <w:shd w:val="clear" w:fill="D0A78F"/>
          </w:tcPr>
          <w:p>
            <w:r/>
          </w:p>
        </w:tc>
      </w:tr>
    </w:tbl>
    <w:p/>
    <w:p>
      <w:pPr>
        <w:pStyle w:val="Heading2"/>
      </w:pPr>
      <w:r>
        <w:rPr>
          <w:color w:val="0A2733"/>
        </w:rPr>
        <w:t>Subprozessor-Änderungsmitteilung</w:t>
      </w:r>
    </w:p>
    <w:p>
      <w:r>
        <w:t>SUBPROZESSOR-ÄNDERUNGSMITTEILUNG — {{notice_reference}}</w:t>
      </w:r>
    </w:p>
    <w:p>
      <w:r>
        <w:t>Von: {{processor_name}}</w:t>
        <w:br/>
        <w:t>An: {{controller_name}}</w:t>
        <w:br/>
        <w:t>Datum: {{notice_date}}</w:t>
        <w:br/>
        <w:t>Rechtsgrundlage: Artikel 28(2) DSGVO — Mitteilung einer beabsichtigten Änderung auf Grundlage der allgemeinen schriftlichen Genehmigung gemäß dem Auftragsverarbeitungsvertrag zwischen den Parteien.</w:t>
      </w:r>
    </w:p>
    <w:p>
      <w:r>
        <w:t>Beabsichtigte Änderung: {{processor_name}} beabsichtigt, den folgenden Subprozessor einzusetzen ({{change_type}} — im Fall einer Ersetzung anstelle von {{replaced_subprocessor}}).</w:t>
      </w:r>
    </w:p>
    <w:p>
      <w:pPr>
        <w:pStyle w:val="Heading2"/>
      </w:pPr>
      <w:r>
        <w:rPr>
          <w:color w:val="0A2733"/>
        </w:rPr>
        <w:t>1. Einzelheiten der beabsichtigten Änderung</w:t>
      </w:r>
    </w:p>
    <w:p>
      <w:r>
        <w:t>Füllen Sie jede Zeile aus. Die Stellungnahme 22/2024 des EDSA wertet Mitteilungen, die nur den Namen nennen, bei nicht trivialen Verarbeitungen als unzureichend. Liegt der Verarbeitungsort außerhalb des EWR, ist die Zeile zum Übermittlungsmechanismus zwingend auszufüllen (Standardvertragsklauseln nach Beschluss (EU) 2021/914 oder ein Angemessenheitsbeschluss).</w:t>
      </w:r>
    </w:p>
    <w:tbl>
      <w:tblPr>
        <w:tblStyle w:val="TableGrid"/>
        <w:tblW w:type="auto" w:w="0"/>
        <w:tblLook w:firstColumn="1" w:firstRow="1" w:lastColumn="0" w:lastRow="0" w:noHBand="0" w:noVBand="1" w:val="04A0"/>
      </w:tblPr>
      <w:tblGrid>
        <w:gridCol w:w="4320"/>
        <w:gridCol w:w="4320"/>
      </w:tblGrid>
      <w:tr>
        <w:tc>
          <w:tcPr>
            <w:tcW w:type="dxa" w:w="4320"/>
            <w:shd w:val="clear" w:fill="0A2733"/>
          </w:tcPr>
          <w:p>
            <w:r>
              <w:rPr>
                <w:b/>
                <w:color w:val="FFFFFF"/>
                <w:sz w:val="20"/>
              </w:rPr>
              <w:t>Feld</w:t>
            </w:r>
          </w:p>
        </w:tc>
        <w:tc>
          <w:tcPr>
            <w:tcW w:type="dxa" w:w="4320"/>
            <w:shd w:val="clear" w:fill="0A2733"/>
          </w:tcPr>
          <w:p>
            <w:r>
              <w:rPr>
                <w:b/>
                <w:color w:val="FFFFFF"/>
                <w:sz w:val="20"/>
              </w:rPr>
              <w:t>Angaben</w:t>
            </w:r>
          </w:p>
        </w:tc>
      </w:tr>
      <w:tr>
        <w:tc>
          <w:tcPr>
            <w:tcW w:type="dxa" w:w="4320"/>
          </w:tcPr>
          <w:p>
            <w:r>
              <w:rPr>
                <w:sz w:val="20"/>
              </w:rPr>
              <w:t>Subprozessor (Rechtseinheit)</w:t>
            </w:r>
          </w:p>
        </w:tc>
        <w:tc>
          <w:tcPr>
            <w:tcW w:type="dxa" w:w="4320"/>
          </w:tcPr>
          <w:p>
            <w:r>
              <w:rPr>
                <w:i/>
                <w:sz w:val="20"/>
              </w:rPr>
              <w:t>{{subprocessor_name}}</w:t>
            </w:r>
          </w:p>
        </w:tc>
      </w:tr>
      <w:tr>
        <w:tc>
          <w:tcPr>
            <w:tcW w:type="dxa" w:w="4320"/>
          </w:tcPr>
          <w:p>
            <w:r>
              <w:rPr>
                <w:sz w:val="20"/>
              </w:rPr>
              <w:t>Eingetragene Anschrift</w:t>
            </w:r>
          </w:p>
        </w:tc>
        <w:tc>
          <w:tcPr>
            <w:tcW w:type="dxa" w:w="4320"/>
          </w:tcPr>
          <w:p>
            <w:r>
              <w:rPr>
                <w:i/>
                <w:sz w:val="20"/>
              </w:rPr>
              <w:t>{{subprocessor_address}}</w:t>
            </w:r>
          </w:p>
        </w:tc>
      </w:tr>
      <w:tr>
        <w:tc>
          <w:tcPr>
            <w:tcW w:type="dxa" w:w="4320"/>
          </w:tcPr>
          <w:p>
            <w:r>
              <w:rPr>
                <w:sz w:val="20"/>
              </w:rPr>
              <w:t>Ansprechpartner</w:t>
            </w:r>
          </w:p>
        </w:tc>
        <w:tc>
          <w:tcPr>
            <w:tcW w:type="dxa" w:w="4320"/>
          </w:tcPr>
          <w:p>
            <w:r>
              <w:rPr>
                <w:i/>
                <w:sz w:val="20"/>
              </w:rPr>
              <w:t>{{subprocessor_contact}}</w:t>
            </w:r>
          </w:p>
        </w:tc>
      </w:tr>
      <w:tr>
        <w:tc>
          <w:tcPr>
            <w:tcW w:type="dxa" w:w="4320"/>
          </w:tcPr>
          <w:p>
            <w:r>
              <w:rPr>
                <w:sz w:val="20"/>
              </w:rPr>
              <w:t>Beschreibung der Leistung / Verarbeitung</w:t>
            </w:r>
          </w:p>
        </w:tc>
        <w:tc>
          <w:tcPr>
            <w:tcW w:type="dxa" w:w="4320"/>
          </w:tcPr>
          <w:p>
            <w:r>
              <w:rPr>
                <w:i/>
                <w:sz w:val="20"/>
              </w:rPr>
              <w:t>{{service_description}}</w:t>
            </w:r>
          </w:p>
        </w:tc>
      </w:tr>
      <w:tr>
        <w:tc>
          <w:tcPr>
            <w:tcW w:type="dxa" w:w="4320"/>
          </w:tcPr>
          <w:p>
            <w:r>
              <w:rPr>
                <w:sz w:val="20"/>
              </w:rPr>
              <w:t>Kategorien personenbezogener Daten</w:t>
            </w:r>
          </w:p>
        </w:tc>
        <w:tc>
          <w:tcPr>
            <w:tcW w:type="dxa" w:w="4320"/>
          </w:tcPr>
          <w:p>
            <w:r>
              <w:rPr>
                <w:i/>
                <w:sz w:val="20"/>
              </w:rPr>
              <w:t>{{data_categories}}</w:t>
            </w:r>
          </w:p>
        </w:tc>
      </w:tr>
      <w:tr>
        <w:tc>
          <w:tcPr>
            <w:tcW w:type="dxa" w:w="4320"/>
          </w:tcPr>
          <w:p>
            <w:r>
              <w:rPr>
                <w:sz w:val="20"/>
              </w:rPr>
              <w:t>Kategorien betroffener Personen</w:t>
            </w:r>
          </w:p>
        </w:tc>
        <w:tc>
          <w:tcPr>
            <w:tcW w:type="dxa" w:w="4320"/>
          </w:tcPr>
          <w:p>
            <w:r>
              <w:rPr>
                <w:i/>
                <w:sz w:val="20"/>
              </w:rPr>
              <w:t>{{data_subjects}}</w:t>
            </w:r>
          </w:p>
        </w:tc>
      </w:tr>
      <w:tr>
        <w:tc>
          <w:tcPr>
            <w:tcW w:type="dxa" w:w="4320"/>
          </w:tcPr>
          <w:p>
            <w:r>
              <w:rPr>
                <w:sz w:val="20"/>
              </w:rPr>
              <w:t>Verarbeitungsort (Land)</w:t>
            </w:r>
          </w:p>
        </w:tc>
        <w:tc>
          <w:tcPr>
            <w:tcW w:type="dxa" w:w="4320"/>
          </w:tcPr>
          <w:p>
            <w:r>
              <w:rPr>
                <w:i/>
                <w:sz w:val="20"/>
              </w:rPr>
              <w:t>{{processing_location}}</w:t>
            </w:r>
          </w:p>
        </w:tc>
      </w:tr>
      <w:tr>
        <w:tc>
          <w:tcPr>
            <w:tcW w:type="dxa" w:w="4320"/>
          </w:tcPr>
          <w:p>
            <w:r>
              <w:rPr>
                <w:sz w:val="20"/>
              </w:rPr>
              <w:t>Übermittlungsmechanismus (Standardvertragsklauseln / Angemessenheit / entfällt bei reiner EWR-Verarbeitung)</w:t>
            </w:r>
          </w:p>
        </w:tc>
        <w:tc>
          <w:tcPr>
            <w:tcW w:type="dxa" w:w="4320"/>
          </w:tcPr>
          <w:p>
            <w:r>
              <w:rPr>
                <w:i/>
                <w:sz w:val="20"/>
              </w:rPr>
              <w:t>{{transfer_mechanism}}</w:t>
            </w:r>
          </w:p>
        </w:tc>
      </w:tr>
      <w:tr>
        <w:tc>
          <w:tcPr>
            <w:tcW w:type="dxa" w:w="4320"/>
          </w:tcPr>
          <w:p>
            <w:r>
              <w:rPr>
                <w:sz w:val="20"/>
              </w:rPr>
              <w:t>Sicherheitsgarantien (Zertifizierungen / Maßnahmen)</w:t>
            </w:r>
          </w:p>
        </w:tc>
        <w:tc>
          <w:tcPr>
            <w:tcW w:type="dxa" w:w="4320"/>
          </w:tcPr>
          <w:p>
            <w:r>
              <w:rPr>
                <w:i/>
                <w:sz w:val="20"/>
              </w:rPr>
              <w:t>{{security_guarantees}}</w:t>
            </w:r>
          </w:p>
        </w:tc>
      </w:tr>
      <w:tr>
        <w:tc>
          <w:tcPr>
            <w:tcW w:type="dxa" w:w="4320"/>
          </w:tcPr>
          <w:p>
            <w:r>
              <w:rPr>
                <w:sz w:val="20"/>
              </w:rPr>
              <w:t>Wirksamkeitsdatum</w:t>
            </w:r>
          </w:p>
        </w:tc>
        <w:tc>
          <w:tcPr>
            <w:tcW w:type="dxa" w:w="4320"/>
          </w:tcPr>
          <w:p>
            <w:r>
              <w:rPr>
                <w:i/>
                <w:sz w:val="20"/>
              </w:rPr>
              <w:t>{{effective_date}}</w:t>
            </w:r>
          </w:p>
        </w:tc>
      </w:tr>
      <w:tr>
        <w:tc>
          <w:tcPr>
            <w:tcW w:type="dxa" w:w="4320"/>
          </w:tcPr>
          <w:p>
            <w:r>
              <w:rPr>
                <w:sz w:val="20"/>
              </w:rPr>
              <w:t>Widerspruchsfrist und -weg</w:t>
            </w:r>
          </w:p>
        </w:tc>
        <w:tc>
          <w:tcPr>
            <w:tcW w:type="dxa" w:w="4320"/>
          </w:tcPr>
          <w:p>
            <w:r>
              <w:rPr>
                <w:i/>
                <w:sz w:val="20"/>
              </w:rPr>
              <w:t>{{objection_deadline}} — {{objection_method}}</w:t>
            </w:r>
          </w:p>
        </w:tc>
      </w:tr>
    </w:tbl>
    <w:p/>
    <w:p>
      <w:pPr>
        <w:pStyle w:val="Heading2"/>
      </w:pPr>
      <w:r>
        <w:rPr>
          <w:color w:val="0A2733"/>
        </w:rPr>
        <w:t>2. Ihr Widerspruchsrecht</w:t>
      </w:r>
    </w:p>
    <w:p>
      <w:r>
        <w:t>Sie können dieser Änderung bis zum {{objection_deadline}} ({{objection_window_days}} Tage ab dem Datum dieser Mitteilung) widersprechen, und zwar {{objection_method}}. Im Fall eines Widerspruchs werden wir uns in zumutbarem Umfang bemühen, diesem Rechnung zu tragen — etwa indem Ihre Daten nicht an den neuen Subprozessor geleitet werden. Ist keine Ausweichlösung möglich, können Sie die betroffenen Leistungen nach Maßgabe des AVV kündigen. Erhalten wir bis zum Fristablauf keinen Widerspruch, wird die Änderung am {{effective_date}} nach Maßgabe des AVV wirksam.</w:t>
      </w:r>
    </w:p>
    <w:p>
      <w:r>
        <w:t>Weitere Informationen: Unsere vollständige und aktuelle Subprozessorenliste finden Sie unter {{subprocessor_list_url}}. {{subprocessor_name}} werden per schriftlichem Vertrag dieselben Datenschutzpflichten auferlegt wie in unserem AVV mit Ihnen (Artikel 28(4) DSGVO); {{processor_name}} haftet Ihnen gegenüber weiterhin uneingeschränkt für deren Erfüllung. Fragen: {{dpo_contact}}.</w:t>
      </w:r>
    </w:p>
    <w:p>
      <w:pPr>
        <w:pStyle w:val="Heading2"/>
      </w:pPr>
      <w:r>
        <w:rPr>
          <w:color w:val="0A2733"/>
        </w:rPr>
        <w:t>3. E-Mail-Variante</w:t>
      </w:r>
    </w:p>
    <w:p>
      <w:r>
        <w:t>Betreff: Subprozessor-Änderungsmitteilung — {{subprocessor_name}} ({{change_type}}) — Widerspruchsfrist {{objection_deadline}}</w:t>
      </w:r>
    </w:p>
    <w:p>
      <w:r>
        <w:t>Sehr geehrte Damen und Herren von {{controller_name}},</w:t>
      </w:r>
    </w:p>
    <w:p>
      <w:r>
        <w:t>gemäß Artikel 28(2) DSGVO und unserem Auftragsverarbeitungsvertrag informieren wir Sie über eine beabsichtigte Subprozessor-Änderung ({{change_type}}):</w:t>
      </w:r>
    </w:p>
    <w:p>
      <w:r>
        <w:t>• Subprozessor: {{subprocessor_name}}, {{subprocessor_address}} (Kontakt: {{subprocessor_contact}})</w:t>
        <w:br/>
        <w:t>• Leistung / Verarbeitung: {{service_description}}</w:t>
        <w:br/>
        <w:t>• Personenbezogene Daten: {{data_categories}} betreffend {{data_subjects}}</w:t>
        <w:br/>
        <w:t>• Verarbeitungsort: {{processing_location}} — Übermittlungsmechanismus: {{transfer_mechanism}}</w:t>
        <w:br/>
        <w:t>• Sicherheitsgarantien: {{security_guarantees}}</w:t>
        <w:br/>
        <w:t>• Wirksamkeitsdatum: {{effective_date}}</w:t>
      </w:r>
    </w:p>
    <w:p>
      <w:r>
        <w:t>Sie können bis zum {{objection_deadline}} widersprechen, und zwar {{objection_method}}. Im Fall eines Widerspruchs suchen wir nach einer Ausweichlösung; ist keine möglich, können Sie die betroffenen Leistungen nach Maßgabe des AVV kündigen. Ohne Widerspruch bis zum Fristablauf wird die Änderung wie oben angegeben wirksam.</w:t>
      </w:r>
    </w:p>
    <w:p>
      <w:r>
        <w:t>Unsere aktuelle Subprozessorenliste: {{subprocessor_list_url}}</w:t>
      </w:r>
    </w:p>
    <w:p>
      <w:r>
        <w:t>Mit freundlichen Grüßen</w:t>
        <w:br/>
        <w:t>{{processor_name}} — Datenschutzteam ({{dpo_contact}})</w:t>
      </w:r>
    </w:p>
    <w:p>
      <w:pPr>
        <w:pStyle w:val="Heading2"/>
      </w:pPr>
      <w:r>
        <w:rPr>
          <w:color w:val="0A2733"/>
        </w:rPr>
        <w:t>4. Textbaustein für die Bearbeitung von Widersprüchen</w:t>
      </w:r>
    </w:p>
    <w:p>
      <w:r>
        <w:t>Versenden Sie diesen innerhalb der in Ihrem AVV vorgesehenen Bestätigungsfrist (oder binnen 5 Arbeitstagen, falls nicht geregelt):</w:t>
      </w:r>
    </w:p>
    <w:p>
      <w:r>
        <w:t>Sehr geehrte Damen und Herren von {{controller_name}},</w:t>
      </w:r>
    </w:p>
    <w:p>
      <w:r>
        <w:t>vielen Dank für Ihren Widerspruch vom {{objection_received_date}} gegen unsere Mitteilung {{notice_reference}} betreffend {{subprocessor_name}}. Wir bestätigen, dass Ihre Daten während der Prüfung Ihres Widerspruchs nicht durch {{subprocessor_name}} verarbeitet werden.</w:t>
      </w:r>
    </w:p>
    <w:p>
      <w:r>
        <w:t>Wir melden uns bis zum {{response_due_date}} mit entweder (a) einer Ausweichlösung, bei der Ihre Daten nicht an {{subprocessor_name}} geleitet werden, oder (b) der Bestätigung, dass keine Ausweichlösung möglich ist — in diesem Fall können Sie die betroffenen Leistungen nach Maßgabe des AVV ohne Nachteil und unter Einhaltung der vereinbarten Abwicklungsfrist kündigen.</w:t>
      </w:r>
    </w:p>
    <w:p>
      <w:r>
        <w:t>Ihr Widerspruch und dessen Erledigung werden in unserem Audit-Trail zur Verarbeitung dokumentiert.</w:t>
      </w:r>
    </w:p>
    <w:p>
      <w:pPr>
        <w:pStyle w:val="Heading2"/>
      </w:pPr>
      <w:r>
        <w:rPr>
          <w:color w:val="0A2733"/>
        </w:rPr>
        <w:t>5. Freigabe-Workflow (intern — vor dem Versand entfernen)</w:t>
      </w:r>
    </w:p>
    <w:p>
      <w:r>
        <w:t>Durchlaufen Sie alle vier Freigabestufen der Reihe nach, bevor die Mitteilung das Haus verlässt. Die DSGVO sieht keine gesetzliche Mitteilungsfrist vor: Die Widerspruchsfrist ergibt sich aus dem jeweils anwendbaren AVV (europäische Praxis: typischerweise rund 15 Tage, von Enterprise-Kunden und regulierten Verantwortlichen 30–60 Tage verhandelt, 90 Tage selten).</w:t>
      </w:r>
    </w:p>
    <w:tbl>
      <w:tblPr>
        <w:tblStyle w:val="TableGrid"/>
        <w:tblW w:type="auto" w:w="0"/>
        <w:tblLook w:firstColumn="1" w:firstRow="1" w:lastColumn="0" w:lastRow="0" w:noHBand="0" w:noVBand="1" w:val="04A0"/>
      </w:tblPr>
      <w:tblGrid>
        <w:gridCol w:w="2880"/>
        <w:gridCol w:w="2880"/>
        <w:gridCol w:w="2880"/>
      </w:tblGrid>
      <w:tr>
        <w:tc>
          <w:tcPr>
            <w:tcW w:type="dxa" w:w="2880"/>
            <w:shd w:val="clear" w:fill="0A2733"/>
          </w:tcPr>
          <w:p>
            <w:r>
              <w:rPr>
                <w:b/>
                <w:color w:val="FFFFFF"/>
                <w:sz w:val="20"/>
              </w:rPr>
              <w:t>Freigabestufe</w:t>
            </w:r>
          </w:p>
        </w:tc>
        <w:tc>
          <w:tcPr>
            <w:tcW w:type="dxa" w:w="2880"/>
            <w:shd w:val="clear" w:fill="0A2733"/>
          </w:tcPr>
          <w:p>
            <w:r>
              <w:rPr>
                <w:b/>
                <w:color w:val="FFFFFF"/>
                <w:sz w:val="20"/>
              </w:rPr>
              <w:t>Verantwortlich</w:t>
            </w:r>
          </w:p>
        </w:tc>
        <w:tc>
          <w:tcPr>
            <w:tcW w:type="dxa" w:w="2880"/>
            <w:shd w:val="clear" w:fill="0A2733"/>
          </w:tcPr>
          <w:p>
            <w:r>
              <w:rPr>
                <w:b/>
                <w:color w:val="FFFFFF"/>
                <w:sz w:val="20"/>
              </w:rPr>
              <w:t>Was geprüft wird</w:t>
            </w:r>
          </w:p>
        </w:tc>
      </w:tr>
      <w:tr>
        <w:tc>
          <w:tcPr>
            <w:tcW w:type="dxa" w:w="2880"/>
          </w:tcPr>
          <w:p>
            <w:r>
              <w:rPr>
                <w:sz w:val="20"/>
              </w:rPr>
              <w:t>1. Rechtsprüfung</w:t>
            </w:r>
          </w:p>
        </w:tc>
        <w:tc>
          <w:tcPr>
            <w:tcW w:type="dxa" w:w="2880"/>
          </w:tcPr>
          <w:p>
            <w:r>
              <w:rPr>
                <w:sz w:val="20"/>
              </w:rPr>
              <w:t>Rechtsabteilung</w:t>
            </w:r>
          </w:p>
        </w:tc>
        <w:tc>
          <w:tcPr>
            <w:tcW w:type="dxa" w:w="2880"/>
          </w:tcPr>
          <w:p>
            <w:r>
              <w:rPr>
                <w:sz w:val="20"/>
              </w:rPr>
              <w:t>Im AVV festgelegte Mitteilungsfrist, Widerspruchsweg und Rechtsfolge je Kundensegment; die längste anwendbare Frist wird angewendet (oder die Mitteilungen werden segmentiert); der Weitergabevertrag nach Artikel 28(4) ist unterzeichnet oder vor dem Wirksamkeitsdatum terminiert</w:t>
            </w:r>
          </w:p>
        </w:tc>
      </w:tr>
      <w:tr>
        <w:tc>
          <w:tcPr>
            <w:tcW w:type="dxa" w:w="2880"/>
          </w:tcPr>
          <w:p>
            <w:r>
              <w:rPr>
                <w:sz w:val="20"/>
              </w:rPr>
              <w:t>2. Freigabe durch den Datenschutzbeauftragten</w:t>
            </w:r>
          </w:p>
        </w:tc>
        <w:tc>
          <w:tcPr>
            <w:tcW w:type="dxa" w:w="2880"/>
          </w:tcPr>
          <w:p>
            <w:r>
              <w:rPr>
                <w:sz w:val="20"/>
              </w:rPr>
              <w:t>Datenschutzbeauftragte/r / Datenschutzleitung</w:t>
            </w:r>
          </w:p>
        </w:tc>
        <w:tc>
          <w:tcPr>
            <w:tcW w:type="dxa" w:w="2880"/>
          </w:tcPr>
          <w:p>
            <w:r>
              <w:rPr>
                <w:sz w:val="20"/>
              </w:rPr>
              <w:t>Die Sorgfaltsprüfung des Subprozessors ist abgeschlossen; die Übermittlungsanalyse ist für den Verarbeitungsort gültig; alle Felder der Mitteilung sind ausgefüllt — Entwürfe, die nur den Namen nennen, werden abgelehnt</w:t>
            </w:r>
          </w:p>
        </w:tc>
      </w:tr>
      <w:tr>
        <w:tc>
          <w:tcPr>
            <w:tcW w:type="dxa" w:w="2880"/>
          </w:tcPr>
          <w:p>
            <w:r>
              <w:rPr>
                <w:sz w:val="20"/>
              </w:rPr>
              <w:t>3. Veröffentlichen</w:t>
            </w:r>
          </w:p>
        </w:tc>
        <w:tc>
          <w:tcPr>
            <w:tcW w:type="dxa" w:w="2880"/>
          </w:tcPr>
          <w:p>
            <w:r>
              <w:rPr>
                <w:sz w:val="20"/>
              </w:rPr>
              <w:t>Verantwortlich für Trust Center / Web</w:t>
            </w:r>
          </w:p>
        </w:tc>
        <w:tc>
          <w:tcPr>
            <w:tcW w:type="dxa" w:w="2880"/>
          </w:tcPr>
          <w:p>
            <w:r>
              <w:rPr>
                <w:sz w:val="20"/>
              </w:rPr>
              <w:t>Das öffentliche Subprozessorenregister wird vor oder gleichzeitig mit der Mitteilung aktualisiert, damit Liste und Mitteilung übereinstimmen (Stellungnahme 22/2024 des EDSA: jederzeit aktuell)</w:t>
            </w:r>
          </w:p>
        </w:tc>
      </w:tr>
      <w:tr>
        <w:tc>
          <w:tcPr>
            <w:tcW w:type="dxa" w:w="2880"/>
          </w:tcPr>
          <w:p>
            <w:r>
              <w:rPr>
                <w:sz w:val="20"/>
              </w:rPr>
              <w:t>4. Benachrichtigen &amp; protokollieren</w:t>
            </w:r>
          </w:p>
        </w:tc>
        <w:tc>
          <w:tcPr>
            <w:tcW w:type="dxa" w:w="2880"/>
          </w:tcPr>
          <w:p>
            <w:r>
              <w:rPr>
                <w:sz w:val="20"/>
              </w:rPr>
              <w:t>Datenschutz-Operations</w:t>
            </w:r>
          </w:p>
        </w:tc>
        <w:tc>
          <w:tcPr>
            <w:tcW w:type="dxa" w:w="2880"/>
          </w:tcPr>
          <w:p>
            <w:r>
              <w:rPr>
                <w:i/>
                <w:sz w:val="20"/>
              </w:rPr>
              <w:t>Die Benachrichtigung wird an jeden betroffenen Verantwortlichen versandt; Empfänger, Zeitstempel und Inhalt werden protokolliert; die Widerspruchsfrist läuft an; der Go-live wird bis zum Ablauf des {{objection_deadline}} zurückgestellt</w:t>
            </w:r>
          </w:p>
        </w:tc>
      </w:tr>
    </w:tbl>
    <w:p/>
    <w:p>
      <w:r>
        <w:br w:type="page"/>
      </w:r>
    </w:p>
    <w:p>
      <w:pPr>
        <w:pStyle w:val="Heading1"/>
      </w:pPr>
      <w:r>
        <w:rPr>
          <w:color w:val="0A2733"/>
        </w:rPr>
        <w:t>AUSGEFÜLLTES BEISPIEL (fiktiv — ersetzen Sie es durch Ihre eigenen Daten)</w:t>
      </w:r>
    </w:p>
    <w:p>
      <w:pPr>
        <w:pStyle w:val="Heading2"/>
      </w:pPr>
      <w:r>
        <w:rPr>
          <w:color w:val="0A2733"/>
        </w:rPr>
        <w:t>Subprozessor-Änderungsmitteilung</w:t>
      </w:r>
    </w:p>
    <w:p>
      <w:r>
        <w:t>SUBPROZESSOR-ÄNDERUNGSMITTEILUNG — SUBPROC-2026-014</w:t>
      </w:r>
    </w:p>
    <w:p>
      <w:r>
        <w:t>Von: Aventra Software GmbH</w:t>
        <w:br/>
        <w:t>An: Alle registrierten Kunden (Verantwortliche)</w:t>
        <w:br/>
        <w:t>Datum: 2026-07-03</w:t>
        <w:br/>
        <w:t>Rechtsgrundlage: Artikel 28(2) DSGVO — Mitteilung einer beabsichtigten Änderung auf Grundlage der allgemeinen schriftlichen Genehmigung gemäß dem Auftragsverarbeitungsvertrag zwischen den Parteien.</w:t>
      </w:r>
    </w:p>
    <w:p>
      <w:r>
        <w:t>Beabsichtigte Änderung: Aventra Software GmbH beabsichtigt, den folgenden Subprozessor einzusetzen (Aufnahme).</w:t>
      </w:r>
    </w:p>
    <w:p>
      <w:pPr>
        <w:pStyle w:val="Heading2"/>
      </w:pPr>
      <w:r>
        <w:rPr>
          <w:color w:val="0A2733"/>
        </w:rPr>
        <w:t>1. Einzelheiten der beabsichtigten Änderung</w:t>
      </w:r>
    </w:p>
    <w:tbl>
      <w:tblPr>
        <w:tblStyle w:val="TableGrid"/>
        <w:tblW w:type="auto" w:w="0"/>
        <w:tblLook w:firstColumn="1" w:firstRow="1" w:lastColumn="0" w:lastRow="0" w:noHBand="0" w:noVBand="1" w:val="04A0"/>
      </w:tblPr>
      <w:tblGrid>
        <w:gridCol w:w="4320"/>
        <w:gridCol w:w="4320"/>
      </w:tblGrid>
      <w:tr>
        <w:tc>
          <w:tcPr>
            <w:tcW w:type="dxa" w:w="4320"/>
            <w:shd w:val="clear" w:fill="0A2733"/>
          </w:tcPr>
          <w:p>
            <w:r>
              <w:rPr>
                <w:b/>
                <w:color w:val="FFFFFF"/>
                <w:sz w:val="20"/>
              </w:rPr>
              <w:t>Feld</w:t>
            </w:r>
          </w:p>
        </w:tc>
        <w:tc>
          <w:tcPr>
            <w:tcW w:type="dxa" w:w="4320"/>
            <w:shd w:val="clear" w:fill="0A2733"/>
          </w:tcPr>
          <w:p>
            <w:r>
              <w:rPr>
                <w:b/>
                <w:color w:val="FFFFFF"/>
                <w:sz w:val="20"/>
              </w:rPr>
              <w:t>Angaben</w:t>
            </w:r>
          </w:p>
        </w:tc>
      </w:tr>
      <w:tr>
        <w:tc>
          <w:tcPr>
            <w:tcW w:type="dxa" w:w="4320"/>
          </w:tcPr>
          <w:p>
            <w:r>
              <w:rPr>
                <w:sz w:val="20"/>
              </w:rPr>
              <w:t>Subprozessor (Rechtseinheit)</w:t>
            </w:r>
          </w:p>
        </w:tc>
        <w:tc>
          <w:tcPr>
            <w:tcW w:type="dxa" w:w="4320"/>
          </w:tcPr>
          <w:p>
            <w:r>
              <w:rPr>
                <w:sz w:val="20"/>
              </w:rPr>
              <w:t>Northmail ApS</w:t>
            </w:r>
          </w:p>
        </w:tc>
      </w:tr>
      <w:tr>
        <w:tc>
          <w:tcPr>
            <w:tcW w:type="dxa" w:w="4320"/>
          </w:tcPr>
          <w:p>
            <w:r>
              <w:rPr>
                <w:sz w:val="20"/>
              </w:rPr>
              <w:t>Eingetragene Anschrift</w:t>
            </w:r>
          </w:p>
        </w:tc>
        <w:tc>
          <w:tcPr>
            <w:tcW w:type="dxa" w:w="4320"/>
          </w:tcPr>
          <w:p>
            <w:r>
              <w:rPr>
                <w:sz w:val="20"/>
              </w:rPr>
              <w:t>Njalsgade 21, 2300 Kopenhagen, Dänemark</w:t>
            </w:r>
          </w:p>
        </w:tc>
      </w:tr>
      <w:tr>
        <w:tc>
          <w:tcPr>
            <w:tcW w:type="dxa" w:w="4320"/>
          </w:tcPr>
          <w:p>
            <w:r>
              <w:rPr>
                <w:sz w:val="20"/>
              </w:rPr>
              <w:t>Ansprechpartner</w:t>
            </w:r>
          </w:p>
        </w:tc>
        <w:tc>
          <w:tcPr>
            <w:tcW w:type="dxa" w:w="4320"/>
          </w:tcPr>
          <w:p>
            <w:r>
              <w:rPr>
                <w:sz w:val="20"/>
              </w:rPr>
              <w:t>Mette Sørensen, Leiterin Datenschutz, privacy@northmail.example</w:t>
            </w:r>
          </w:p>
        </w:tc>
      </w:tr>
      <w:tr>
        <w:tc>
          <w:tcPr>
            <w:tcW w:type="dxa" w:w="4320"/>
          </w:tcPr>
          <w:p>
            <w:r>
              <w:rPr>
                <w:sz w:val="20"/>
              </w:rPr>
              <w:t>Beschreibung der Leistung / Verarbeitung</w:t>
            </w:r>
          </w:p>
        </w:tc>
        <w:tc>
          <w:tcPr>
            <w:tcW w:type="dxa" w:w="4320"/>
          </w:tcPr>
          <w:p>
            <w:r>
              <w:rPr>
                <w:sz w:val="20"/>
              </w:rPr>
              <w:t>Versand transaktionaler E-Mails für In-App-Benachrichtigungen; Northmail verarbeitet ausschließlich Empfängeradressen und Nachrichten-Metadaten — die Inhaltsvorlagen verbleiben bei Aventra</w:t>
            </w:r>
          </w:p>
        </w:tc>
      </w:tr>
      <w:tr>
        <w:tc>
          <w:tcPr>
            <w:tcW w:type="dxa" w:w="4320"/>
          </w:tcPr>
          <w:p>
            <w:r>
              <w:rPr>
                <w:sz w:val="20"/>
              </w:rPr>
              <w:t>Kategorien personenbezogener Daten</w:t>
            </w:r>
          </w:p>
        </w:tc>
        <w:tc>
          <w:tcPr>
            <w:tcW w:type="dxa" w:w="4320"/>
          </w:tcPr>
          <w:p>
            <w:r>
              <w:rPr>
                <w:sz w:val="20"/>
              </w:rPr>
              <w:t>Kontaktdaten (Name, E-Mail-Adresse); Nachrichten-Metadaten. Keine besonderen Kategorien</w:t>
            </w:r>
          </w:p>
        </w:tc>
      </w:tr>
      <w:tr>
        <w:tc>
          <w:tcPr>
            <w:tcW w:type="dxa" w:w="4320"/>
          </w:tcPr>
          <w:p>
            <w:r>
              <w:rPr>
                <w:sz w:val="20"/>
              </w:rPr>
              <w:t>Kategorien betroffener Personen</w:t>
            </w:r>
          </w:p>
        </w:tc>
        <w:tc>
          <w:tcPr>
            <w:tcW w:type="dxa" w:w="4320"/>
          </w:tcPr>
          <w:p>
            <w:r>
              <w:rPr>
                <w:sz w:val="20"/>
              </w:rPr>
              <w:t>Beschäftigte des Kunden und Endnutzer, die Benachrichtigungen erhalten</w:t>
            </w:r>
          </w:p>
        </w:tc>
      </w:tr>
      <w:tr>
        <w:tc>
          <w:tcPr>
            <w:tcW w:type="dxa" w:w="4320"/>
          </w:tcPr>
          <w:p>
            <w:r>
              <w:rPr>
                <w:sz w:val="20"/>
              </w:rPr>
              <w:t>Verarbeitungsort (Land)</w:t>
            </w:r>
          </w:p>
        </w:tc>
        <w:tc>
          <w:tcPr>
            <w:tcW w:type="dxa" w:w="4320"/>
          </w:tcPr>
          <w:p>
            <w:r>
              <w:rPr>
                <w:sz w:val="20"/>
              </w:rPr>
              <w:t>Dänemark (EWR)</w:t>
            </w:r>
          </w:p>
        </w:tc>
      </w:tr>
      <w:tr>
        <w:tc>
          <w:tcPr>
            <w:tcW w:type="dxa" w:w="4320"/>
          </w:tcPr>
          <w:p>
            <w:r>
              <w:rPr>
                <w:sz w:val="20"/>
              </w:rPr>
              <w:t>Übermittlungsmechanismus (Standardvertragsklauseln / Angemessenheit / entfällt bei reiner EWR-Verarbeitung)</w:t>
            </w:r>
          </w:p>
        </w:tc>
        <w:tc>
          <w:tcPr>
            <w:tcW w:type="dxa" w:w="4320"/>
          </w:tcPr>
          <w:p>
            <w:r>
              <w:rPr>
                <w:sz w:val="20"/>
              </w:rPr>
              <w:t>entfällt — die Verarbeitung verbleibt innerhalb des EWR</w:t>
            </w:r>
          </w:p>
        </w:tc>
      </w:tr>
      <w:tr>
        <w:tc>
          <w:tcPr>
            <w:tcW w:type="dxa" w:w="4320"/>
          </w:tcPr>
          <w:p>
            <w:r>
              <w:rPr>
                <w:sz w:val="20"/>
              </w:rPr>
              <w:t>Sicherheitsgarantien (Zertifizierungen / Maßnahmen)</w:t>
            </w:r>
          </w:p>
        </w:tc>
        <w:tc>
          <w:tcPr>
            <w:tcW w:type="dxa" w:w="4320"/>
          </w:tcPr>
          <w:p>
            <w:r>
              <w:rPr>
                <w:sz w:val="20"/>
              </w:rPr>
              <w:t>ISO 27001:2022-zertifiziert; TLS bei der Übertragung, AES-256 im Ruhezustand; jährlicher Penetrationstest durch Dritte</w:t>
            </w:r>
          </w:p>
        </w:tc>
      </w:tr>
      <w:tr>
        <w:tc>
          <w:tcPr>
            <w:tcW w:type="dxa" w:w="4320"/>
          </w:tcPr>
          <w:p>
            <w:r>
              <w:rPr>
                <w:sz w:val="20"/>
              </w:rPr>
              <w:t>Wirksamkeitsdatum</w:t>
            </w:r>
          </w:p>
        </w:tc>
        <w:tc>
          <w:tcPr>
            <w:tcW w:type="dxa" w:w="4320"/>
          </w:tcPr>
          <w:p>
            <w:r>
              <w:rPr>
                <w:sz w:val="20"/>
              </w:rPr>
              <w:t>2026-08-03</w:t>
            </w:r>
          </w:p>
        </w:tc>
      </w:tr>
      <w:tr>
        <w:tc>
          <w:tcPr>
            <w:tcW w:type="dxa" w:w="4320"/>
          </w:tcPr>
          <w:p>
            <w:r>
              <w:rPr>
                <w:sz w:val="20"/>
              </w:rPr>
              <w:t>Widerspruchsfrist und -weg</w:t>
            </w:r>
          </w:p>
        </w:tc>
        <w:tc>
          <w:tcPr>
            <w:tcW w:type="dxa" w:w="4320"/>
          </w:tcPr>
          <w:p>
            <w:r>
              <w:rPr>
                <w:sz w:val="20"/>
              </w:rPr>
              <w:t>2026-07-24 — E-Mail an privacy@aventra.example unter Angabe der Referenz SUBPROC-2026-014</w:t>
            </w:r>
          </w:p>
        </w:tc>
      </w:tr>
    </w:tbl>
    <w:p/>
    <w:p>
      <w:pPr>
        <w:pStyle w:val="Heading2"/>
      </w:pPr>
      <w:r>
        <w:rPr>
          <w:color w:val="0A2733"/>
        </w:rPr>
        <w:t>2. Ihr Widerspruchsrecht</w:t>
      </w:r>
    </w:p>
    <w:p>
      <w:r>
        <w:t>Sie können dieser Änderung bis zum 2026-07-24 widersprechen (21 Tage ab dem Datum dieser Mitteilung, gemäß Ziffer 6.3 unseres AVV), und zwar per E-Mail an privacy@aventra.example unter Angabe der Referenz SUBPROC-2026-014. Im Fall eines Widerspruchs werden wir uns in zumutbarem Umfang bemühen, diesem Rechnung zu tragen — etwa indem Ihre Daten nicht an Northmail ApS geleitet werden. Ist keine Ausweichlösung möglich, können Sie die betroffenen Leistungen nach Maßgabe des AVV kündigen. Erhalten wir bis zum Fristablauf keinen Widerspruch, wird die Änderung am 2026-08-03 nach Maßgabe des AVV wirksam.</w:t>
      </w:r>
    </w:p>
    <w:p>
      <w:r>
        <w:t>Weitere Informationen: Unsere vollständige und aktuelle Subprozessorenliste finden Sie unter https://trust.aventra.example/subprocessors. Northmail ApS werden per schriftlichem Vertrag dieselben Datenschutzpflichten auferlegt wie in unserem AVV mit Ihnen (Artikel 28(4) DSGVO); Aventra Software GmbH haftet Ihnen gegenüber weiterhin uneingeschränkt für deren Erfüllung. Fragen: dpo@aventra.example.</w:t>
      </w:r>
    </w:p>
    <w:p>
      <w:pPr>
        <w:pStyle w:val="Heading2"/>
      </w:pPr>
      <w:r>
        <w:rPr>
          <w:color w:val="0A2733"/>
        </w:rPr>
        <w:t>3. E-Mail-Variante</w:t>
      </w:r>
    </w:p>
    <w:p>
      <w:r>
        <w:t>Betreff: Subprozessor-Änderungsmitteilung — Northmail ApS (Aufnahme) — Widerspruchsfrist 2026-07-24</w:t>
      </w:r>
    </w:p>
    <w:p>
      <w:r>
        <w:t>Sehr geehrte Kundin, sehr geehrter Kunde,</w:t>
      </w:r>
    </w:p>
    <w:p>
      <w:r>
        <w:t>gemäß Artikel 28(2) DSGVO und unserem Auftragsverarbeitungsvertrag informieren wir Sie über die beabsichtigte Aufnahme eines Subprozessors:</w:t>
      </w:r>
    </w:p>
    <w:p>
      <w:r>
        <w:t>• Subprozessor: Northmail ApS, Njalsgade 21, 2300 Kopenhagen, Dänemark (Kontakt: Mette Sørensen, Leiterin Datenschutz, privacy@northmail.example)</w:t>
        <w:br/>
        <w:t>• Leistung / Verarbeitung: Versand transaktionaler E-Mails für In-App-Benachrichtigungen; ausschließlich Empfängeradressen und Nachrichten-Metadaten</w:t>
        <w:br/>
        <w:t>• Personenbezogene Daten: Kontaktdaten (Name, E-Mail-Adresse); Nachrichten-Metadaten — betreffend Beschäftigte des Kunden und Endnutzer, die Benachrichtigungen erhalten</w:t>
        <w:br/>
        <w:t>• Verarbeitungsort: Dänemark (EWR) — Übermittlungsmechanismus: entfällt, die Verarbeitung verbleibt innerhalb des EWR</w:t>
        <w:br/>
        <w:t>• Sicherheitsgarantien: ISO 27001:2022-zertifiziert; TLS bei der Übertragung, AES-256 im Ruhezustand; jährlicher Penetrationstest durch Dritte</w:t>
        <w:br/>
        <w:t>• Wirksamkeitsdatum: 2026-08-03</w:t>
      </w:r>
    </w:p>
    <w:p>
      <w:r>
        <w:t>Sie können bis zum 2026-07-24 per E-Mail an privacy@aventra.example unter Angabe der Referenz SUBPROC-2026-014 widersprechen. Im Fall eines Widerspruchs suchen wir nach einer Ausweichlösung; ist keine möglich, können Sie die betroffenen Leistungen nach Maßgabe des AVV kündigen. Ohne Widerspruch bis zum Fristablauf wird die Änderung wie oben angegeben wirksam.</w:t>
      </w:r>
    </w:p>
    <w:p>
      <w:r>
        <w:t>Unsere aktuelle Subprozessorenliste: https://trust.aventra.example/subprocessors</w:t>
      </w:r>
    </w:p>
    <w:p>
      <w:r>
        <w:t>Mit freundlichen Grüßen</w:t>
        <w:br/>
        <w:t>Aventra Software GmbH — Datenschutzteam (dpo@aventra.example)</w:t>
      </w:r>
    </w:p>
    <w:p>
      <w:pPr>
        <w:pStyle w:val="Heading2"/>
      </w:pPr>
      <w:r>
        <w:rPr>
          <w:color w:val="0A2733"/>
        </w:rPr>
        <w:t>4. Textbaustein für die Bearbeitung von Widersprüchen</w:t>
      </w:r>
    </w:p>
    <w:p>
      <w:r>
        <w:t>Sehr geehrte Kundin, sehr geehrter Kunde,</w:t>
      </w:r>
    </w:p>
    <w:p>
      <w:r>
        <w:t>vielen Dank für Ihren Widerspruch vom 2026-07-15 gegen unsere Mitteilung SUBPROC-2026-014 betreffend Northmail ApS. Wir bestätigen, dass Ihre Daten während der Prüfung Ihres Widerspruchs nicht durch Northmail ApS verarbeitet werden.</w:t>
      </w:r>
    </w:p>
    <w:p>
      <w:r>
        <w:t>Wir melden uns bis zum 2026-07-22 mit entweder (a) einer Ausweichlösung, bei der Ihre Daten nicht an Northmail ApS geleitet werden, oder (b) der Bestätigung, dass keine Ausweichlösung möglich ist — in diesem Fall können Sie die betroffenen Leistungen nach Maßgabe des AVV ohne Nachteil und unter Einhaltung der vereinbarten Abwicklungsfrist kündigen.</w:t>
      </w:r>
    </w:p>
    <w:p>
      <w:r>
        <w:t>Ihr Widerspruch und dessen Erledigung werden in unserem Audit-Trail zur Verarbeitung dokumentiert.</w:t>
      </w:r>
    </w:p>
    <w:p>
      <w:pPr>
        <w:pStyle w:val="Heading2"/>
      </w:pPr>
      <w:r>
        <w:rPr>
          <w:color w:val="0A2733"/>
        </w:rPr>
        <w:t>5. Freigabe-Workflow (intern — vor dem Versand entfernen)</w:t>
      </w:r>
    </w:p>
    <w:tbl>
      <w:tblPr>
        <w:tblStyle w:val="TableGrid"/>
        <w:tblW w:type="auto" w:w="0"/>
        <w:tblLook w:firstColumn="1" w:firstRow="1" w:lastColumn="0" w:lastRow="0" w:noHBand="0" w:noVBand="1" w:val="04A0"/>
      </w:tblPr>
      <w:tblGrid>
        <w:gridCol w:w="2880"/>
        <w:gridCol w:w="2880"/>
        <w:gridCol w:w="2880"/>
      </w:tblGrid>
      <w:tr>
        <w:tc>
          <w:tcPr>
            <w:tcW w:type="dxa" w:w="2880"/>
            <w:shd w:val="clear" w:fill="0A2733"/>
          </w:tcPr>
          <w:p>
            <w:r>
              <w:rPr>
                <w:b/>
                <w:color w:val="FFFFFF"/>
                <w:sz w:val="20"/>
              </w:rPr>
              <w:t>Freigabestufe</w:t>
            </w:r>
          </w:p>
        </w:tc>
        <w:tc>
          <w:tcPr>
            <w:tcW w:type="dxa" w:w="2880"/>
            <w:shd w:val="clear" w:fill="0A2733"/>
          </w:tcPr>
          <w:p>
            <w:r>
              <w:rPr>
                <w:b/>
                <w:color w:val="FFFFFF"/>
                <w:sz w:val="20"/>
              </w:rPr>
              <w:t>Verantwortlich</w:t>
            </w:r>
          </w:p>
        </w:tc>
        <w:tc>
          <w:tcPr>
            <w:tcW w:type="dxa" w:w="2880"/>
            <w:shd w:val="clear" w:fill="0A2733"/>
          </w:tcPr>
          <w:p>
            <w:r>
              <w:rPr>
                <w:b/>
                <w:color w:val="FFFFFF"/>
                <w:sz w:val="20"/>
              </w:rPr>
              <w:t>Was geprüft wird</w:t>
            </w:r>
          </w:p>
        </w:tc>
      </w:tr>
      <w:tr>
        <w:tc>
          <w:tcPr>
            <w:tcW w:type="dxa" w:w="2880"/>
          </w:tcPr>
          <w:p>
            <w:r>
              <w:rPr>
                <w:sz w:val="20"/>
              </w:rPr>
              <w:t>1. Rechtsprüfung</w:t>
            </w:r>
          </w:p>
        </w:tc>
        <w:tc>
          <w:tcPr>
            <w:tcW w:type="dxa" w:w="2880"/>
          </w:tcPr>
          <w:p>
            <w:r>
              <w:rPr>
                <w:sz w:val="20"/>
              </w:rPr>
              <w:t>Rechtsabteilung</w:t>
            </w:r>
          </w:p>
        </w:tc>
        <w:tc>
          <w:tcPr>
            <w:tcW w:type="dxa" w:w="2880"/>
          </w:tcPr>
          <w:p>
            <w:r>
              <w:rPr>
                <w:sz w:val="20"/>
              </w:rPr>
              <w:t>Die 21-Tage-Frist nach Ziffer 6.3 wurde als die längste über alle Kundensegmente hinweg anwendbare Frist bestätigt; der Weitergabe-AVV mit Northmail wurde am 28.06.2026 unterzeichnet</w:t>
            </w:r>
          </w:p>
        </w:tc>
      </w:tr>
      <w:tr>
        <w:tc>
          <w:tcPr>
            <w:tcW w:type="dxa" w:w="2880"/>
          </w:tcPr>
          <w:p>
            <w:r>
              <w:rPr>
                <w:sz w:val="20"/>
              </w:rPr>
              <w:t>2. Freigabe durch den Datenschutzbeauftragten</w:t>
            </w:r>
          </w:p>
        </w:tc>
        <w:tc>
          <w:tcPr>
            <w:tcW w:type="dxa" w:w="2880"/>
          </w:tcPr>
          <w:p>
            <w:r>
              <w:rPr>
                <w:sz w:val="20"/>
              </w:rPr>
              <w:t>Datenschutzbeauftragte/r</w:t>
            </w:r>
          </w:p>
        </w:tc>
        <w:tc>
          <w:tcPr>
            <w:tcW w:type="dxa" w:w="2880"/>
          </w:tcPr>
          <w:p>
            <w:r>
              <w:rPr>
                <w:sz w:val="20"/>
              </w:rPr>
              <w:t>Die Lieferantenprüfungsakte NM-2026-03 ist vollständig; die ausschließliche Verarbeitung im EWR ist bestätigt, ein Übermittlungsmechanismus ist nicht erforderlich; alle Felder der Mitteilung sind ausgefüllt</w:t>
            </w:r>
          </w:p>
        </w:tc>
      </w:tr>
      <w:tr>
        <w:tc>
          <w:tcPr>
            <w:tcW w:type="dxa" w:w="2880"/>
          </w:tcPr>
          <w:p>
            <w:r>
              <w:rPr>
                <w:sz w:val="20"/>
              </w:rPr>
              <w:t>3. Veröffentlichen</w:t>
            </w:r>
          </w:p>
        </w:tc>
        <w:tc>
          <w:tcPr>
            <w:tcW w:type="dxa" w:w="2880"/>
          </w:tcPr>
          <w:p>
            <w:r>
              <w:rPr>
                <w:sz w:val="20"/>
              </w:rPr>
              <w:t>Verantwortlich für die Trust-Seite</w:t>
            </w:r>
          </w:p>
        </w:tc>
        <w:tc>
          <w:tcPr>
            <w:tcW w:type="dxa" w:w="2880"/>
          </w:tcPr>
          <w:p>
            <w:r>
              <w:rPr>
                <w:sz w:val="20"/>
              </w:rPr>
              <w:t>trust.aventra.example/subprocessors wurde am 03.07.2026 aktualisiert und stimmt mit der Mitteilung überein</w:t>
            </w:r>
          </w:p>
        </w:tc>
      </w:tr>
      <w:tr>
        <w:tc>
          <w:tcPr>
            <w:tcW w:type="dxa" w:w="2880"/>
          </w:tcPr>
          <w:p>
            <w:r>
              <w:rPr>
                <w:sz w:val="20"/>
              </w:rPr>
              <w:t>4. Benachrichtigen &amp; protokollieren</w:t>
            </w:r>
          </w:p>
        </w:tc>
        <w:tc>
          <w:tcPr>
            <w:tcW w:type="dxa" w:w="2880"/>
          </w:tcPr>
          <w:p>
            <w:r>
              <w:rPr>
                <w:sz w:val="20"/>
              </w:rPr>
              <w:t>Datenschutz-Operations</w:t>
            </w:r>
          </w:p>
        </w:tc>
        <w:tc>
          <w:tcPr>
            <w:tcW w:type="dxa" w:w="2880"/>
          </w:tcPr>
          <w:p>
            <w:r>
              <w:rPr>
                <w:sz w:val="20"/>
              </w:rPr>
              <w:t>Die Mitteilung wurde am 03.07.2026 um 09:00 MEZ per E-Mail an 412 registrierte Kontakte bei Verantwortlichen versandt; das Versandprotokoll ist archiviert; die Widerspruchsfrist 2026-07-24 ist im Fristenkalender vermerkt; der Go-live von Northmail ist bis dahin zurückgestellt</w:t>
            </w:r>
          </w:p>
        </w:tc>
      </w:tr>
    </w:tbl>
    <w:p/>
    <w:sectPr w:rsidR="00FC693F" w:rsidRPr="0006063C" w:rsidSect="00034616">
      <w:footerReference w:type="default" r:id="rId9"/>
      <w:head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8A9397"/>
        <w:sz w:val="15"/>
      </w:rPr>
      <w:t>DSGVO-Vorlage für die Subprozessor-Änderungsmitteilung v1.0 — 03.07.2026 — Orbiq — https://www.orbiqhq.com/templates/gdpr-subprocessor-change-notice — Keine Rechtsberatung.</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Helvetica" w:hAnsi="Helvetic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