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A2733"/>
          <w:sz w:val="34"/>
        </w:rPr>
        <w:t>NIS2-Vorlagen für Vorfallsmeldungen — Paket zu Artikel 23</w:t>
      </w:r>
    </w:p>
    <w:p>
      <w:r>
        <w:rPr>
          <w:i w:val="0"/>
        </w:rPr>
        <w:t>Einreichungsfertige Formulare für sämtliche Stufen der NIS2-Meldung erheblicher Sicherheitsvorfälle nach Richtlinie (EU) 2022/2555, Artikel 23(4): die Frühwarnung binnen 24 Stunden, die Vorfallsmeldung binnen 72 Stunden, den Zwischen- bzw. Fortschrittsbericht und den Abschlussbericht binnen eines Monats. Die Inhaltsfelder folgen Artikel 23(4)(a)–(e) und ergänzen die Datenpunkte, die die Durchführungsverordnung (EU) 2024/2690 der Kommission von Einrichtungen der digitalen Infrastruktur und der IKT-Dienste erwartet.</w:t>
      </w:r>
    </w:p>
    <w:p>
      <w:r>
        <w:rPr>
          <w:i/>
        </w:rPr>
        <w:t>So verwenden Sie dieses Paket: Füllen Sie Formular 0 (Eintrag im Vorfallsregister) einmalig aus und anschließend die Formulare 1–4, sobald die jeweiligen Fristen fällig werden. Reichen Sie die Meldungen über Ihren nationalen Kanal ein (in Deutschland: das Meldeportal des BSI; Österreich: das Meldeportal des BMI/GovCERT; Norwegen: NSM bzw. die zuständige Sektorbehörde; prüfen Sie das Portal Ihres CSIRT) — diese Formulare strukturieren den Inhalt so, dass die Einreichung eine Übertragung ist und kein Verfassen.</w:t>
      </w:r>
    </w:p>
    <w:p>
      <w:r>
        <w:rPr>
          <w:i w:val="0"/>
          <w:color w:val="6B7C85"/>
          <w:sz w:val="18"/>
        </w:rPr>
        <w:t>Version 1.0 — veröffentlicht am 14.07.2026. Kostenlos unter orbiqhq.com/templates/nis2-incident-reporting-pack. Keine Rechtsberatung; nationale Umsetzungsgesetze können zusätzliche Felder oder kürzere Fristen je Sektor vorsehen.</w:t>
      </w:r>
    </w:p>
    <w:p>
      <w:r>
        <w:br w:type="page"/>
      </w:r>
    </w:p>
    <w:p>
      <w:r>
        <w:rPr>
          <w:b/>
          <w:color w:val="0A2733"/>
          <w:sz w:val="34"/>
        </w:rPr>
        <w:t>Formular 0 — Eintrag im Vorfallsregister (intern)</w:t>
      </w:r>
    </w:p>
    <w:p>
      <w:r>
        <w:rPr>
          <w:i w:val="0"/>
        </w:rPr>
        <w:t>Einmalig bei Entdeckung ausfüllen und aktuell halten. Dies ist Ihre interne verbindliche Datenquelle, die jede Meldestufe speist.</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Interne Vorfalls-ID</w:t>
            </w:r>
          </w:p>
        </w:tc>
        <w:tc>
          <w:tcPr>
            <w:tcW w:type="dxa" w:w="5953"/>
          </w:tcPr>
          <w:p>
            <w:r>
              <w:rPr>
                <w:i/>
                <w:color w:val="6B7C85"/>
                <w:sz w:val="18"/>
              </w:rPr>
              <w:t>z. B. INC-2026-041</w:t>
            </w:r>
          </w:p>
        </w:tc>
      </w:tr>
      <w:tr>
        <w:tc>
          <w:tcPr>
            <w:tcW w:type="dxa" w:w="3685"/>
          </w:tcPr>
          <w:p>
            <w:r>
              <w:rPr>
                <w:b/>
                <w:color w:val="0A2733"/>
                <w:sz w:val="19"/>
              </w:rPr>
              <w:t>Name und Registrierung der Einrichtung</w:t>
            </w:r>
          </w:p>
        </w:tc>
        <w:tc>
          <w:tcPr>
            <w:tcW w:type="dxa" w:w="5953"/>
          </w:tcPr>
          <w:p>
            <w:r>
              <w:rPr>
                <w:i/>
                <w:color w:val="6B7C85"/>
                <w:sz w:val="18"/>
              </w:rPr>
              <w:t>Rechtseinheit, wie bei der zuständigen Behörde registriert</w:t>
            </w:r>
          </w:p>
        </w:tc>
      </w:tr>
      <w:tr>
        <w:tc>
          <w:tcPr>
            <w:tcW w:type="dxa" w:w="3685"/>
          </w:tcPr>
          <w:p>
            <w:r>
              <w:rPr>
                <w:b/>
                <w:color w:val="0A2733"/>
                <w:sz w:val="19"/>
              </w:rPr>
              <w:t>Einstufung der Einrichtung</w:t>
            </w:r>
          </w:p>
        </w:tc>
        <w:tc>
          <w:tcPr>
            <w:tcW w:type="dxa" w:w="5953"/>
          </w:tcPr>
          <w:p>
            <w:r>
              <w:rPr>
                <w:i/>
                <w:color w:val="6B7C85"/>
                <w:sz w:val="18"/>
              </w:rPr>
              <w:t>wesentliche Einrichtung / wichtige Einrichtung; Sektor und Teilsektor (Anhang I/II)</w:t>
            </w:r>
          </w:p>
        </w:tc>
      </w:tr>
      <w:tr>
        <w:tc>
          <w:tcPr>
            <w:tcW w:type="dxa" w:w="3685"/>
          </w:tcPr>
          <w:p>
            <w:r>
              <w:rPr>
                <w:b/>
                <w:color w:val="0A2733"/>
                <w:sz w:val="19"/>
              </w:rPr>
              <w:t>Einsatzleitung des Vorfalls</w:t>
            </w:r>
          </w:p>
        </w:tc>
        <w:tc>
          <w:tcPr>
            <w:tcW w:type="dxa" w:w="5953"/>
          </w:tcPr>
          <w:p>
            <w:r>
              <w:rPr>
                <w:i/>
                <w:color w:val="6B7C85"/>
                <w:sz w:val="18"/>
              </w:rPr>
              <w:t>Name, Rolle, Telefon, E-Mail</w:t>
            </w:r>
          </w:p>
        </w:tc>
      </w:tr>
      <w:tr>
        <w:tc>
          <w:tcPr>
            <w:tcW w:type="dxa" w:w="3685"/>
          </w:tcPr>
          <w:p>
            <w:r>
              <w:rPr>
                <w:b/>
                <w:color w:val="0A2733"/>
                <w:sz w:val="19"/>
              </w:rPr>
              <w:t>Meldeverantwortliche Person</w:t>
            </w:r>
          </w:p>
        </w:tc>
        <w:tc>
          <w:tcPr>
            <w:tcW w:type="dxa" w:w="5953"/>
          </w:tcPr>
          <w:p>
            <w:r>
              <w:rPr>
                <w:i/>
                <w:color w:val="6B7C85"/>
                <w:sz w:val="18"/>
              </w:rPr>
              <w:t>Person, die die Meldungen an das CSIRT bzw. die zuständige Behörde übermittelt</w:t>
            </w:r>
          </w:p>
        </w:tc>
      </w:tr>
      <w:tr>
        <w:tc>
          <w:tcPr>
            <w:tcW w:type="dxa" w:w="3685"/>
          </w:tcPr>
          <w:p>
            <w:r>
              <w:rPr>
                <w:b/>
                <w:color w:val="0A2733"/>
                <w:sz w:val="19"/>
              </w:rPr>
              <w:t>Datum und Uhrzeit der Entdeckung (mit Zeitzone)</w:t>
            </w:r>
          </w:p>
        </w:tc>
        <w:tc>
          <w:tcPr>
            <w:tcW w:type="dxa" w:w="5953"/>
          </w:tcPr>
          <w:p>
            <w:r>
              <w:rPr>
                <w:i/>
                <w:color w:val="6B7C85"/>
                <w:sz w:val="18"/>
              </w:rPr>
              <w:t>Zeitpunkt, zu dem die Einrichtung KENNTNIS erlangt hat — hiermit beginnt die 24-Stunden-Frist</w:t>
            </w:r>
          </w:p>
        </w:tc>
      </w:tr>
      <w:tr>
        <w:tc>
          <w:tcPr>
            <w:tcW w:type="dxa" w:w="3685"/>
          </w:tcPr>
          <w:p>
            <w:r>
              <w:rPr>
                <w:b/>
                <w:color w:val="0A2733"/>
                <w:sz w:val="19"/>
              </w:rPr>
              <w:t>Quelle der Entdeckung</w:t>
            </w:r>
          </w:p>
        </w:tc>
        <w:tc>
          <w:tcPr>
            <w:tcW w:type="dxa" w:w="5953"/>
          </w:tcPr>
          <w:p>
            <w:r>
              <w:rPr>
                <w:i/>
                <w:color w:val="6B7C85"/>
                <w:sz w:val="18"/>
              </w:rPr>
              <w:t>Monitoring-Alarm / Meldung durch Beschäftigte / Kundenmeldung / Dritte / Behörde</w:t>
            </w:r>
          </w:p>
        </w:tc>
      </w:tr>
      <w:tr>
        <w:tc>
          <w:tcPr>
            <w:tcW w:type="dxa" w:w="3685"/>
          </w:tcPr>
          <w:p>
            <w:r>
              <w:rPr>
                <w:b/>
                <w:color w:val="0A2733"/>
                <w:sz w:val="19"/>
              </w:rPr>
              <w:t>Betroffene Dienste und Systeme</w:t>
            </w:r>
          </w:p>
        </w:tc>
        <w:tc>
          <w:tcPr>
            <w:tcW w:type="dxa" w:w="5953"/>
          </w:tcPr>
          <w:p>
            <w:r>
              <w:rPr>
                <w:i/>
                <w:color w:val="6B7C85"/>
                <w:sz w:val="18"/>
              </w:rPr>
              <w:t>Namen der Dienste, Umgebungen, Regionen</w:t>
            </w:r>
          </w:p>
        </w:tc>
      </w:tr>
      <w:tr>
        <w:tc>
          <w:tcPr>
            <w:tcW w:type="dxa" w:w="3685"/>
          </w:tcPr>
          <w:p>
            <w:r>
              <w:rPr>
                <w:b/>
                <w:color w:val="0A2733"/>
                <w:sz w:val="19"/>
              </w:rPr>
              <w:t>Bewertung der Erheblichkeit</w:t>
            </w:r>
          </w:p>
        </w:tc>
        <w:tc>
          <w:tcPr>
            <w:tcW w:type="dxa" w:w="5953"/>
          </w:tcPr>
          <w:p>
            <w:r>
              <w:rPr>
                <w:i/>
                <w:color w:val="6B7C85"/>
                <w:sz w:val="18"/>
              </w:rPr>
              <w:t>welche Alternative des Art. 23(3) (schwerwiegende Betriebsstörung oder finanzieller Verlust / erheblicher Schaden für andere) oder welches Kriterium der DVO 2024/2690 erfüllt ist, und warum</w:t>
            </w:r>
          </w:p>
        </w:tc>
      </w:tr>
      <w:tr>
        <w:tc>
          <w:tcPr>
            <w:tcW w:type="dxa" w:w="3685"/>
          </w:tcPr>
          <w:p>
            <w:r>
              <w:rPr>
                <w:b/>
                <w:color w:val="0A2733"/>
                <w:sz w:val="19"/>
              </w:rPr>
              <w:t>Grenzüberschreitende Relevanz</w:t>
            </w:r>
          </w:p>
        </w:tc>
        <w:tc>
          <w:tcPr>
            <w:tcW w:type="dxa" w:w="5953"/>
          </w:tcPr>
          <w:p>
            <w:r>
              <w:rPr>
                <w:i/>
                <w:color w:val="6B7C85"/>
                <w:sz w:val="18"/>
              </w:rPr>
              <w:t>Mitgliedstaaten oder Einrichtungen in anderen Mitgliedstaaten, die betroffen oder potenziell betroffen sind</w:t>
            </w:r>
          </w:p>
        </w:tc>
      </w:tr>
      <w:tr>
        <w:tc>
          <w:tcPr>
            <w:tcW w:type="dxa" w:w="3685"/>
          </w:tcPr>
          <w:p>
            <w:r>
              <w:rPr>
                <w:b/>
                <w:color w:val="0A2733"/>
                <w:sz w:val="19"/>
              </w:rPr>
              <w:t>Meldeprotokoll</w:t>
            </w:r>
          </w:p>
        </w:tc>
        <w:tc>
          <w:tcPr>
            <w:tcW w:type="dxa" w:w="5953"/>
          </w:tcPr>
          <w:p>
            <w:r>
              <w:rPr>
                <w:i/>
                <w:color w:val="6B7C85"/>
                <w:sz w:val="18"/>
              </w:rPr>
              <w:t>Stufe / Zeitpunkt der Einreichung / Kanal / von der Behörde vergebenes Aktenzeichen</w:t>
            </w:r>
          </w:p>
        </w:tc>
      </w:tr>
    </w:tbl>
    <w:p>
      <w:r>
        <w:br w:type="page"/>
      </w:r>
    </w:p>
    <w:p>
      <w:r>
        <w:rPr>
          <w:b/>
          <w:color w:val="0A2733"/>
          <w:sz w:val="34"/>
        </w:rPr>
        <w:t>Formular 1 — Frühwarnung (binnen 24 Stunden)</w:t>
      </w:r>
    </w:p>
    <w:p>
      <w:r>
        <w:rPr>
          <w:i w:val="0"/>
        </w:rPr>
        <w:t>Artikel 23(4)(a): unverzüglich, in jedem Fall aber binnen 24 Stunden nach Kenntniserlangung von dem erheblichen Sicherheitsvorfall einzureichen. Die Frühwarnung ist bewusst knapp gehalten — warten Sie für ihre Abgabe nicht auf den Abschluss der Analyse.</w:t>
      </w:r>
    </w:p>
    <w:p>
      <w:r>
        <w:rPr>
          <w:b/>
          <w:color w:val="0A2733"/>
          <w:sz w:val="26"/>
        </w:rPr>
        <w:t>1. Meldende Einrichtung</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Name der Einrichtung / Kennung bei der Behörde</w:t>
            </w:r>
          </w:p>
        </w:tc>
        <w:tc>
          <w:tcPr>
            <w:tcW w:type="dxa" w:w="5953"/>
          </w:tcPr>
          <w:p>
            <w:r>
              <w:rPr>
                <w:i/>
                <w:color w:val="6B7C85"/>
                <w:sz w:val="18"/>
              </w:rPr>
            </w:r>
          </w:p>
        </w:tc>
      </w:tr>
      <w:tr>
        <w:tc>
          <w:tcPr>
            <w:tcW w:type="dxa" w:w="3685"/>
          </w:tcPr>
          <w:p>
            <w:r>
              <w:rPr>
                <w:b/>
                <w:color w:val="0A2733"/>
                <w:sz w:val="19"/>
              </w:rPr>
              <w:t>Ansprechpartner für diesen Vorfall</w:t>
            </w:r>
          </w:p>
        </w:tc>
        <w:tc>
          <w:tcPr>
            <w:tcW w:type="dxa" w:w="5953"/>
          </w:tcPr>
          <w:p>
            <w:r>
              <w:rPr>
                <w:i/>
                <w:color w:val="6B7C85"/>
                <w:sz w:val="18"/>
              </w:rPr>
              <w:t>Name, Telefon, E-Mail — rund um die Uhr erreichbar</w:t>
            </w:r>
          </w:p>
        </w:tc>
      </w:tr>
    </w:tbl>
    <w:p>
      <w:r>
        <w:rPr>
          <w:b/>
          <w:color w:val="0A2733"/>
          <w:sz w:val="26"/>
        </w:rPr>
        <w:t>2. Zusammenfassung des Vorfalls</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Interne Vorfalls-ID</w:t>
            </w:r>
          </w:p>
        </w:tc>
        <w:tc>
          <w:tcPr>
            <w:tcW w:type="dxa" w:w="5953"/>
          </w:tcPr>
          <w:p>
            <w:r>
              <w:rPr>
                <w:i/>
                <w:color w:val="6B7C85"/>
                <w:sz w:val="18"/>
              </w:rPr>
            </w:r>
          </w:p>
        </w:tc>
      </w:tr>
      <w:tr>
        <w:tc>
          <w:tcPr>
            <w:tcW w:type="dxa" w:w="3685"/>
          </w:tcPr>
          <w:p>
            <w:r>
              <w:rPr>
                <w:b/>
                <w:color w:val="0A2733"/>
                <w:sz w:val="19"/>
              </w:rPr>
              <w:t>Datum/Uhrzeit der Kenntniserlangung</w:t>
            </w:r>
          </w:p>
        </w:tc>
        <w:tc>
          <w:tcPr>
            <w:tcW w:type="dxa" w:w="5953"/>
          </w:tcPr>
          <w:p>
            <w:r>
              <w:rPr>
                <w:i/>
                <w:color w:val="6B7C85"/>
                <w:sz w:val="18"/>
              </w:rPr>
              <w:t>Zeitzone ausdrücklich angeben</w:t>
            </w:r>
          </w:p>
        </w:tc>
      </w:tr>
      <w:tr>
        <w:tc>
          <w:tcPr>
            <w:tcW w:type="dxa" w:w="3685"/>
          </w:tcPr>
          <w:p>
            <w:r>
              <w:rPr>
                <w:b/>
                <w:color w:val="0A2733"/>
                <w:sz w:val="19"/>
              </w:rPr>
              <w:t>Kurzbeschreibung</w:t>
            </w:r>
          </w:p>
        </w:tc>
        <w:tc>
          <w:tcPr>
            <w:tcW w:type="dxa" w:w="5953"/>
          </w:tcPr>
          <w:p>
            <w:r>
              <w:rPr>
                <w:i/>
                <w:color w:val="6B7C85"/>
                <w:sz w:val="18"/>
              </w:rPr>
              <w:t>2–4 Sätze: was betroffen ist, aktueller Status</w:t>
            </w:r>
          </w:p>
        </w:tc>
      </w:tr>
      <w:tr>
        <w:tc>
          <w:tcPr>
            <w:tcW w:type="dxa" w:w="3685"/>
          </w:tcPr>
          <w:p>
            <w:r>
              <w:rPr>
                <w:b/>
                <w:color w:val="0A2733"/>
                <w:sz w:val="19"/>
              </w:rPr>
              <w:t>Betroffene Dienste</w:t>
            </w:r>
          </w:p>
        </w:tc>
        <w:tc>
          <w:tcPr>
            <w:tcW w:type="dxa" w:w="5953"/>
          </w:tcPr>
          <w:p>
            <w:r>
              <w:rPr>
                <w:i/>
                <w:color w:val="6B7C85"/>
                <w:sz w:val="18"/>
              </w:rPr>
            </w:r>
          </w:p>
        </w:tc>
      </w:tr>
    </w:tbl>
    <w:p>
      <w:r>
        <w:rPr>
          <w:b/>
          <w:color w:val="0A2733"/>
          <w:sz w:val="26"/>
        </w:rPr>
        <w:t>3. Pflichtangaben der Frühwarnung — Art. 23(4)(a)</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Verdacht auf rechtswidrige oder böswillige Ursache?</w:t>
            </w:r>
          </w:p>
        </w:tc>
        <w:tc>
          <w:tcPr>
            <w:tcW w:type="dxa" w:w="5953"/>
          </w:tcPr>
          <w:p>
            <w:r>
              <w:rPr>
                <w:i/>
                <w:color w:val="6B7C85"/>
                <w:sz w:val="18"/>
              </w:rPr>
              <w:t>ja / nein / unbekannt — mit einzeiliger Begründung</w:t>
            </w:r>
          </w:p>
        </w:tc>
      </w:tr>
      <w:tr>
        <w:tc>
          <w:tcPr>
            <w:tcW w:type="dxa" w:w="3685"/>
          </w:tcPr>
          <w:p>
            <w:r>
              <w:rPr>
                <w:b/>
                <w:color w:val="0A2733"/>
                <w:sz w:val="19"/>
              </w:rPr>
              <w:t>Könnte der Vorfall grenzüberschreitende Auswirkungen haben?</w:t>
            </w:r>
          </w:p>
        </w:tc>
        <w:tc>
          <w:tcPr>
            <w:tcW w:type="dxa" w:w="5953"/>
          </w:tcPr>
          <w:p>
            <w:r>
              <w:rPr>
                <w:i/>
                <w:color w:val="6B7C85"/>
                <w:sz w:val="18"/>
              </w:rPr>
              <w:t>ja / nein / unbekannt — potenziell betroffene Mitgliedstaaten benennen, soweit bekannt</w:t>
            </w:r>
          </w:p>
        </w:tc>
      </w:tr>
    </w:tbl>
    <w:p>
      <w:r>
        <w:rPr>
          <w:b/>
          <w:color w:val="0A2733"/>
          <w:sz w:val="26"/>
        </w:rPr>
        <w:t>4. Auf dieser Stufe optional</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Unterstützung angefordert?</w:t>
            </w:r>
          </w:p>
        </w:tc>
        <w:tc>
          <w:tcPr>
            <w:tcW w:type="dxa" w:w="5953"/>
          </w:tcPr>
          <w:p>
            <w:r>
              <w:rPr>
                <w:i/>
                <w:color w:val="6B7C85"/>
                <w:sz w:val="18"/>
              </w:rPr>
              <w:t>Einrichtungen können Unterstützung oder Hinweise des CSIRT anfordern</w:t>
            </w:r>
          </w:p>
        </w:tc>
      </w:tr>
      <w:tr>
        <w:tc>
          <w:tcPr>
            <w:tcW w:type="dxa" w:w="3685"/>
          </w:tcPr>
          <w:p>
            <w:r>
              <w:rPr>
                <w:b/>
                <w:color w:val="0A2733"/>
                <w:sz w:val="19"/>
              </w:rPr>
              <w:t>Andauernd / eingedämmt?</w:t>
            </w:r>
          </w:p>
        </w:tc>
        <w:tc>
          <w:tcPr>
            <w:tcW w:type="dxa" w:w="5953"/>
          </w:tcPr>
          <w:p>
            <w:r>
              <w:rPr>
                <w:i/>
                <w:color w:val="6B7C85"/>
                <w:sz w:val="18"/>
              </w:rPr>
            </w:r>
          </w:p>
        </w:tc>
      </w:tr>
    </w:tbl>
    <w:p>
      <w:r>
        <w:br w:type="page"/>
      </w:r>
    </w:p>
    <w:p>
      <w:r>
        <w:rPr>
          <w:b/>
          <w:color w:val="0A2733"/>
          <w:sz w:val="34"/>
        </w:rPr>
        <w:t>Formular 2 — Vorfallsmeldung (binnen 72 Stunden)</w:t>
      </w:r>
    </w:p>
    <w:p>
      <w:r>
        <w:rPr>
          <w:i w:val="0"/>
        </w:rPr>
        <w:t>Artikel 23(4)(b): unverzüglich, in jedem Fall aber binnen 72 Stunden nach Kenntniserlangung einzureichen. Sie aktualisiert die Frühwarnung und ergänzt eine erste Bewertung. Für Vertrauensdiensteanbieter kann das nationale Recht diese Meldung bereits binnen 24 Stunden verlangen.</w:t>
      </w:r>
    </w:p>
    <w:p>
      <w:r>
        <w:rPr>
          <w:b/>
          <w:color w:val="0A2733"/>
          <w:sz w:val="26"/>
        </w:rPr>
        <w:t>1. Bezug</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Interne Vorfalls-ID / Aktenzeichen der Frühwarnung</w:t>
            </w:r>
          </w:p>
        </w:tc>
        <w:tc>
          <w:tcPr>
            <w:tcW w:type="dxa" w:w="5953"/>
          </w:tcPr>
          <w:p>
            <w:r>
              <w:rPr>
                <w:i/>
                <w:color w:val="6B7C85"/>
                <w:sz w:val="18"/>
              </w:rPr>
              <w:t>von der Behörde vergebenes Aktenzeichen aus Formular 1</w:t>
            </w:r>
          </w:p>
        </w:tc>
      </w:tr>
      <w:tr>
        <w:tc>
          <w:tcPr>
            <w:tcW w:type="dxa" w:w="3685"/>
          </w:tcPr>
          <w:p>
            <w:r>
              <w:rPr>
                <w:b/>
                <w:color w:val="0A2733"/>
                <w:sz w:val="19"/>
              </w:rPr>
              <w:t>Änderungen seit der Frühwarnung</w:t>
            </w:r>
          </w:p>
        </w:tc>
        <w:tc>
          <w:tcPr>
            <w:tcW w:type="dxa" w:w="5953"/>
          </w:tcPr>
          <w:p>
            <w:r>
              <w:rPr>
                <w:i/>
                <w:color w:val="6B7C85"/>
                <w:sz w:val="18"/>
              </w:rPr>
              <w:t>Zusammenfassung dessen, was neu ist oder korrigiert wurde</w:t>
            </w:r>
          </w:p>
        </w:tc>
      </w:tr>
    </w:tbl>
    <w:p>
      <w:r>
        <w:rPr>
          <w:b/>
          <w:color w:val="0A2733"/>
          <w:sz w:val="26"/>
        </w:rPr>
        <w:t>2. Erste Bewertung — Art. 23(4)(b)</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Bewertung des Schweregrads</w:t>
            </w:r>
          </w:p>
        </w:tc>
        <w:tc>
          <w:tcPr>
            <w:tcW w:type="dxa" w:w="5953"/>
          </w:tcPr>
          <w:p>
            <w:r>
              <w:rPr>
                <w:i/>
                <w:color w:val="6B7C85"/>
                <w:sz w:val="18"/>
              </w:rPr>
              <w:t>Umfang der Störung, betroffene Nutzer/Empfänger, bisherige Dauer</w:t>
            </w:r>
          </w:p>
        </w:tc>
      </w:tr>
      <w:tr>
        <w:tc>
          <w:tcPr>
            <w:tcW w:type="dxa" w:w="3685"/>
          </w:tcPr>
          <w:p>
            <w:r>
              <w:rPr>
                <w:b/>
                <w:color w:val="0A2733"/>
                <w:sz w:val="19"/>
              </w:rPr>
              <w:t>Bewertung der Auswirkungen</w:t>
            </w:r>
          </w:p>
        </w:tc>
        <w:tc>
          <w:tcPr>
            <w:tcW w:type="dxa" w:w="5953"/>
          </w:tcPr>
          <w:p>
            <w:r>
              <w:rPr>
                <w:i/>
                <w:color w:val="6B7C85"/>
                <w:sz w:val="18"/>
              </w:rPr>
              <w:t>betriebliche und finanzielle Auswirkungen (Schätzung), Auswirkungen auf Vertraulichkeit/Integrität/Verfügbarkeit der Daten</w:t>
            </w:r>
          </w:p>
        </w:tc>
      </w:tr>
      <w:tr>
        <w:tc>
          <w:tcPr>
            <w:tcW w:type="dxa" w:w="3685"/>
          </w:tcPr>
          <w:p>
            <w:r>
              <w:rPr>
                <w:b/>
                <w:color w:val="0A2733"/>
                <w:sz w:val="19"/>
              </w:rPr>
              <w:t>Kompromittierungsindikatoren (soweit verfügbar)</w:t>
            </w:r>
          </w:p>
        </w:tc>
        <w:tc>
          <w:tcPr>
            <w:tcW w:type="dxa" w:w="5953"/>
          </w:tcPr>
          <w:p>
            <w:r>
              <w:rPr>
                <w:i/>
                <w:color w:val="6B7C85"/>
                <w:sz w:val="18"/>
              </w:rPr>
              <w:t>IoCs: Hashwerte, IP-Adressen, Domains, TTPs — bei größerem Umfang als strukturierte Datei beifügen</w:t>
            </w:r>
          </w:p>
        </w:tc>
      </w:tr>
      <w:tr>
        <w:tc>
          <w:tcPr>
            <w:tcW w:type="dxa" w:w="3685"/>
          </w:tcPr>
          <w:p>
            <w:r>
              <w:rPr>
                <w:b/>
                <w:color w:val="0A2733"/>
                <w:sz w:val="19"/>
              </w:rPr>
              <w:t>Erfüllte Erheblichkeitskriterien</w:t>
            </w:r>
          </w:p>
        </w:tc>
        <w:tc>
          <w:tcPr>
            <w:tcW w:type="dxa" w:w="5953"/>
          </w:tcPr>
          <w:p>
            <w:r>
              <w:rPr>
                <w:i/>
                <w:color w:val="6B7C85"/>
                <w:sz w:val="18"/>
              </w:rPr>
              <w:t>Alternativen des Art. 23(3) und, soweit einschlägig, das Kriterium der DVO (EU) 2024/2690 (z. B. direkter finanzieller Verlust von mehr als 500.000 EUR oder 5 % des Jahresumsatzes, je nachdem, welcher Wert niedriger ist)</w:t>
            </w:r>
          </w:p>
        </w:tc>
      </w:tr>
    </w:tbl>
    <w:p>
      <w:r>
        <w:rPr>
          <w:b/>
          <w:color w:val="0A2733"/>
          <w:sz w:val="26"/>
        </w:rPr>
        <w:t>3. Stand der Reaktion</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Ergriffene Eindämmungs-/Abhilfemaßnahmen</w:t>
            </w:r>
          </w:p>
        </w:tc>
        <w:tc>
          <w:tcPr>
            <w:tcW w:type="dxa" w:w="5953"/>
          </w:tcPr>
          <w:p>
            <w:r>
              <w:rPr>
                <w:i/>
                <w:color w:val="6B7C85"/>
                <w:sz w:val="18"/>
              </w:rPr>
            </w:r>
          </w:p>
        </w:tc>
      </w:tr>
      <w:tr>
        <w:tc>
          <w:tcPr>
            <w:tcW w:type="dxa" w:w="3685"/>
          </w:tcPr>
          <w:p>
            <w:r>
              <w:rPr>
                <w:b/>
                <w:color w:val="0A2733"/>
                <w:sz w:val="19"/>
              </w:rPr>
              <w:t>Aktualisierung zu grenzüberschreitenden Aspekten</w:t>
            </w:r>
          </w:p>
        </w:tc>
        <w:tc>
          <w:tcPr>
            <w:tcW w:type="dxa" w:w="5953"/>
          </w:tcPr>
          <w:p>
            <w:r>
              <w:rPr>
                <w:i/>
                <w:color w:val="6B7C85"/>
                <w:sz w:val="18"/>
              </w:rPr>
              <w:t>betroffene Mitgliedstaaten / benachrichtigte Stellen</w:t>
            </w:r>
          </w:p>
        </w:tc>
      </w:tr>
      <w:tr>
        <w:tc>
          <w:tcPr>
            <w:tcW w:type="dxa" w:w="3685"/>
          </w:tcPr>
          <w:p>
            <w:r>
              <w:rPr>
                <w:b/>
                <w:color w:val="0A2733"/>
                <w:sz w:val="19"/>
              </w:rPr>
              <w:t>Kommunikation gegenüber Empfängern der Dienste</w:t>
            </w:r>
          </w:p>
        </w:tc>
        <w:tc>
          <w:tcPr>
            <w:tcW w:type="dxa" w:w="5953"/>
          </w:tcPr>
          <w:p>
            <w:r>
              <w:rPr>
                <w:i/>
                <w:color w:val="6B7C85"/>
                <w:sz w:val="18"/>
              </w:rPr>
              <w:t>ob die Empfänger über den Vorfall oder über Maßnahmen, die sie ergreifen können, informiert wurden (Art. 23(1)–(2)); etwaige behördliche Anordnungen zur Information der Öffentlichkeit vermerken</w:t>
            </w:r>
          </w:p>
        </w:tc>
      </w:tr>
    </w:tbl>
    <w:p>
      <w:r>
        <w:br w:type="page"/>
      </w:r>
    </w:p>
    <w:p>
      <w:r>
        <w:rPr>
          <w:b/>
          <w:color w:val="0A2733"/>
          <w:sz w:val="34"/>
        </w:rPr>
        <w:t>Formular 3 — Zwischen-/Fortschrittsbericht (auf Anforderung oder nach einem Monat bei andauerndem Vorfall)</w:t>
      </w:r>
    </w:p>
    <w:p>
      <w:r>
        <w:rPr>
          <w:i w:val="0"/>
        </w:rPr>
        <w:t>Artikel 23(4)(c): Ein CSIRT oder eine zuständige Behörde kann einen Zwischenbericht mit relevanten Statusaktualisierungen anfordern. Artikel 23(4)(e): Dauert der Vorfall zum Fälligkeitszeitpunkt des Abschlussberichts noch an, reichen Sie stattdessen einen Fortschrittsbericht ein und den Abschlussbericht binnen eines Monats nach Abschluss der Bearbeitung des Vorfalls.</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Bezug</w:t>
            </w:r>
          </w:p>
        </w:tc>
        <w:tc>
          <w:tcPr>
            <w:tcW w:type="dxa" w:w="5953"/>
          </w:tcPr>
          <w:p>
            <w:r>
              <w:rPr>
                <w:i/>
                <w:color w:val="6B7C85"/>
                <w:sz w:val="18"/>
              </w:rPr>
              <w:t>Vorfalls-ID + Aktenzeichen der vorherigen Meldungen</w:t>
            </w:r>
          </w:p>
        </w:tc>
      </w:tr>
      <w:tr>
        <w:tc>
          <w:tcPr>
            <w:tcW w:type="dxa" w:w="3685"/>
          </w:tcPr>
          <w:p>
            <w:r>
              <w:rPr>
                <w:b/>
                <w:color w:val="0A2733"/>
                <w:sz w:val="19"/>
              </w:rPr>
              <w:t>Angefordert von / Auslöser</w:t>
            </w:r>
          </w:p>
        </w:tc>
        <w:tc>
          <w:tcPr>
            <w:tcW w:type="dxa" w:w="5953"/>
          </w:tcPr>
          <w:p>
            <w:r>
              <w:rPr>
                <w:i/>
                <w:color w:val="6B7C85"/>
                <w:sz w:val="18"/>
              </w:rPr>
              <w:t>behördliche Anforderung oder Erreichen der Monatsfrist bei andauerndem Vorfall</w:t>
            </w:r>
          </w:p>
        </w:tc>
      </w:tr>
      <w:tr>
        <w:tc>
          <w:tcPr>
            <w:tcW w:type="dxa" w:w="3685"/>
          </w:tcPr>
          <w:p>
            <w:r>
              <w:rPr>
                <w:b/>
                <w:color w:val="0A2733"/>
                <w:sz w:val="19"/>
              </w:rPr>
              <w:t>Statusaktualisierung</w:t>
            </w:r>
          </w:p>
        </w:tc>
        <w:tc>
          <w:tcPr>
            <w:tcW w:type="dxa" w:w="5953"/>
          </w:tcPr>
          <w:p>
            <w:r>
              <w:rPr>
                <w:i/>
                <w:color w:val="6B7C85"/>
                <w:sz w:val="18"/>
              </w:rPr>
              <w:t>aktueller Betriebszustand; Dienste wiederhergestellt / beeinträchtigt / ausgefallen</w:t>
            </w:r>
          </w:p>
        </w:tc>
      </w:tr>
      <w:tr>
        <w:tc>
          <w:tcPr>
            <w:tcW w:type="dxa" w:w="3685"/>
          </w:tcPr>
          <w:p>
            <w:r>
              <w:rPr>
                <w:b/>
                <w:color w:val="0A2733"/>
                <w:sz w:val="19"/>
              </w:rPr>
              <w:t>Aktualisierte Auswirkungszahlen</w:t>
            </w:r>
          </w:p>
        </w:tc>
        <w:tc>
          <w:tcPr>
            <w:tcW w:type="dxa" w:w="5953"/>
          </w:tcPr>
          <w:p>
            <w:r>
              <w:rPr>
                <w:i/>
                <w:color w:val="6B7C85"/>
                <w:sz w:val="18"/>
              </w:rPr>
              <w:t>betroffene Nutzer, Ausfallzeit, finanzielle Schätzung</w:t>
            </w:r>
          </w:p>
        </w:tc>
      </w:tr>
      <w:tr>
        <w:tc>
          <w:tcPr>
            <w:tcW w:type="dxa" w:w="3685"/>
          </w:tcPr>
          <w:p>
            <w:r>
              <w:rPr>
                <w:b/>
                <w:color w:val="0A2733"/>
                <w:sz w:val="19"/>
              </w:rPr>
              <w:t>Neue Erkenntnisse</w:t>
            </w:r>
          </w:p>
        </w:tc>
        <w:tc>
          <w:tcPr>
            <w:tcW w:type="dxa" w:w="5953"/>
          </w:tcPr>
          <w:p>
            <w:r>
              <w:rPr>
                <w:i/>
                <w:color w:val="6B7C85"/>
                <w:sz w:val="18"/>
              </w:rPr>
              <w:t>Fortschritt bei der Ursachenanalyse, neue IoCs, Änderungen des Umfangs</w:t>
            </w:r>
          </w:p>
        </w:tc>
      </w:tr>
      <w:tr>
        <w:tc>
          <w:tcPr>
            <w:tcW w:type="dxa" w:w="3685"/>
          </w:tcPr>
          <w:p>
            <w:r>
              <w:rPr>
                <w:b/>
                <w:color w:val="0A2733"/>
                <w:sz w:val="19"/>
              </w:rPr>
              <w:t>Nächste Schritte und erwarteter Zeitplan</w:t>
            </w:r>
          </w:p>
        </w:tc>
        <w:tc>
          <w:tcPr>
            <w:tcW w:type="dxa" w:w="5953"/>
          </w:tcPr>
          <w:p>
            <w:r>
              <w:rPr>
                <w:i/>
                <w:color w:val="6B7C85"/>
                <w:sz w:val="18"/>
              </w:rPr>
            </w:r>
          </w:p>
        </w:tc>
      </w:tr>
    </w:tbl>
    <w:p>
      <w:r>
        <w:br w:type="page"/>
      </w:r>
    </w:p>
    <w:p>
      <w:r>
        <w:rPr>
          <w:b/>
          <w:color w:val="0A2733"/>
          <w:sz w:val="34"/>
        </w:rPr>
        <w:t>Formular 4 — Abschlussbericht (binnen eines Monats nach der 72-Stunden-Meldung)</w:t>
      </w:r>
    </w:p>
    <w:p>
      <w:r>
        <w:rPr>
          <w:i w:val="0"/>
        </w:rPr>
        <w:t>Artikel 23(4)(d): spätestens einen Monat nach der Vorfallsmeldung aus Formular 2 einzureichen. Alle vier nachstehenden Inhaltselemente sind verpflichtend.</w:t>
      </w:r>
    </w:p>
    <w:p>
      <w:r>
        <w:rPr>
          <w:b/>
          <w:color w:val="0A2733"/>
          <w:sz w:val="26"/>
        </w:rPr>
        <w:t>1. Ausführliche Beschreibung — Art. 23(4)(d)(i)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Darstellung des Vorfalls</w:t>
            </w:r>
          </w:p>
        </w:tc>
        <w:tc>
          <w:tcPr>
            <w:tcW w:type="dxa" w:w="5953"/>
          </w:tcPr>
          <w:p>
            <w:r>
              <w:rPr>
                <w:i/>
                <w:color w:val="6B7C85"/>
                <w:sz w:val="18"/>
              </w:rPr>
              <w:t>Zeitleiste von der ersten Kompromittierung bis zur Behebung</w:t>
            </w:r>
          </w:p>
        </w:tc>
      </w:tr>
      <w:tr>
        <w:tc>
          <w:tcPr>
            <w:tcW w:type="dxa" w:w="3685"/>
          </w:tcPr>
          <w:p>
            <w:r>
              <w:rPr>
                <w:b/>
                <w:color w:val="0A2733"/>
                <w:sz w:val="19"/>
              </w:rPr>
              <w:t>Schweregrad und Auswirkungen</w:t>
            </w:r>
          </w:p>
        </w:tc>
        <w:tc>
          <w:tcPr>
            <w:tcW w:type="dxa" w:w="5953"/>
          </w:tcPr>
          <w:p>
            <w:r>
              <w:rPr>
                <w:i/>
                <w:color w:val="6B7C85"/>
                <w:sz w:val="18"/>
              </w:rPr>
              <w:t>endgültige Zahlen: Dauer, betroffene Nutzer/Empfänger, betroffene Daten, finanzieller Verlust</w:t>
            </w:r>
          </w:p>
        </w:tc>
      </w:tr>
    </w:tbl>
    <w:p>
      <w:r>
        <w:rPr>
          <w:b/>
          <w:color w:val="0A2733"/>
          <w:sz w:val="26"/>
        </w:rPr>
        <w:t>2. Bedrohung und Ursache — Art. 23(4)(d)(ii)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Art der Bedrohung</w:t>
            </w:r>
          </w:p>
        </w:tc>
        <w:tc>
          <w:tcPr>
            <w:tcW w:type="dxa" w:w="5953"/>
          </w:tcPr>
          <w:p>
            <w:r>
              <w:rPr>
                <w:i/>
                <w:color w:val="6B7C85"/>
                <w:sz w:val="18"/>
              </w:rPr>
              <w:t>z. B. Ransomware, Kompromittierung der Lieferkette, DDoS, Fehlkonfiguration</w:t>
            </w:r>
          </w:p>
        </w:tc>
      </w:tr>
      <w:tr>
        <w:tc>
          <w:tcPr>
            <w:tcW w:type="dxa" w:w="3685"/>
          </w:tcPr>
          <w:p>
            <w:r>
              <w:rPr>
                <w:b/>
                <w:color w:val="0A2733"/>
                <w:sz w:val="19"/>
              </w:rPr>
              <w:t>Grundursache</w:t>
            </w:r>
          </w:p>
        </w:tc>
        <w:tc>
          <w:tcPr>
            <w:tcW w:type="dxa" w:w="5953"/>
          </w:tcPr>
          <w:p>
            <w:r>
              <w:rPr>
                <w:i/>
                <w:color w:val="6B7C85"/>
                <w:sz w:val="18"/>
              </w:rPr>
              <w:t>die wahrscheinlich auslösende Ursache, mit Nachweisen</w:t>
            </w:r>
          </w:p>
        </w:tc>
      </w:tr>
    </w:tbl>
    <w:p>
      <w:r>
        <w:rPr>
          <w:b/>
          <w:color w:val="0A2733"/>
          <w:sz w:val="26"/>
        </w:rPr>
        <w:t>3. Abhilfemaßnahmen — Art. 23(4)(d)(iii)</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Umgesetzte Maßnahmen</w:t>
            </w:r>
          </w:p>
        </w:tc>
        <w:tc>
          <w:tcPr>
            <w:tcW w:type="dxa" w:w="5953"/>
          </w:tcPr>
          <w:p>
            <w:r>
              <w:rPr>
                <w:i/>
                <w:color w:val="6B7C85"/>
                <w:sz w:val="18"/>
              </w:rPr>
              <w:t>abgeschlossene Behebung</w:t>
            </w:r>
          </w:p>
        </w:tc>
      </w:tr>
      <w:tr>
        <w:tc>
          <w:tcPr>
            <w:tcW w:type="dxa" w:w="3685"/>
          </w:tcPr>
          <w:p>
            <w:r>
              <w:rPr>
                <w:b/>
                <w:color w:val="0A2733"/>
                <w:sz w:val="19"/>
              </w:rPr>
              <w:t>Laufende Maßnahmen</w:t>
            </w:r>
          </w:p>
        </w:tc>
        <w:tc>
          <w:tcPr>
            <w:tcW w:type="dxa" w:w="5953"/>
          </w:tcPr>
          <w:p>
            <w:r>
              <w:rPr>
                <w:i/>
                <w:color w:val="6B7C85"/>
                <w:sz w:val="18"/>
              </w:rPr>
              <w:t>mit Verantwortlichen und Terminen</w:t>
            </w:r>
          </w:p>
        </w:tc>
      </w:tr>
    </w:tbl>
    <w:p>
      <w:r>
        <w:rPr>
          <w:b/>
          <w:color w:val="0A2733"/>
          <w:sz w:val="26"/>
        </w:rPr>
        <w:t>4. Grenzüberschreitende Auswirkungen — Art. 23(4)(d)(iv)</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Grenzüberschreitende Auswirkungen, soweit einschlägig</w:t>
            </w:r>
          </w:p>
        </w:tc>
        <w:tc>
          <w:tcPr>
            <w:tcW w:type="dxa" w:w="5953"/>
          </w:tcPr>
          <w:p>
            <w:r>
              <w:rPr>
                <w:i/>
                <w:color w:val="6B7C85"/>
                <w:sz w:val="18"/>
              </w:rPr>
              <w:t>betroffene Mitgliedstaaten und Kategorien von Einrichtungen</w:t>
            </w:r>
          </w:p>
        </w:tc>
      </w:tr>
    </w:tbl>
    <w:p>
      <w:r>
        <w:rPr>
          <w:b/>
          <w:color w:val="0A2733"/>
          <w:sz w:val="26"/>
        </w:rPr>
        <w:t>5. Gewonnene Erkenntnisse (empfohlen)</w:t>
      </w:r>
    </w:p>
    <w:tbl>
      <w:tblPr>
        <w:tblStyle w:val="TableGrid"/>
        <w:tblW w:type="auto" w:w="0"/>
        <w:tblLook w:firstColumn="1" w:firstRow="1" w:lastColumn="0" w:lastRow="0" w:noHBand="0" w:noVBand="1" w:val="04A0"/>
      </w:tblPr>
      <w:tblGrid>
        <w:gridCol w:w="4320"/>
        <w:gridCol w:w="4320"/>
      </w:tblGrid>
      <w:tr>
        <w:tc>
          <w:tcPr>
            <w:tcW w:type="dxa" w:w="3685"/>
          </w:tcPr>
          <w:p>
            <w:r>
              <w:rPr>
                <w:b/>
                <w:color w:val="0A2733"/>
                <w:sz w:val="19"/>
              </w:rPr>
              <w:t>Präventive Änderungen</w:t>
            </w:r>
          </w:p>
        </w:tc>
        <w:tc>
          <w:tcPr>
            <w:tcW w:type="dxa" w:w="5953"/>
          </w:tcPr>
          <w:p>
            <w:r>
              <w:rPr>
                <w:i/>
                <w:color w:val="6B7C85"/>
                <w:sz w:val="18"/>
              </w:rPr>
              <w:t>Änderungen an Kontrollen, die in Ihre Risikomanagementmaßnahmen nach Art. 21 und Ihr ISMS einfließen</w:t>
            </w:r>
          </w:p>
        </w:tc>
      </w:tr>
      <w:tr>
        <w:tc>
          <w:tcPr>
            <w:tcW w:type="dxa" w:w="3685"/>
          </w:tcPr>
          <w:p>
            <w:r>
              <w:rPr>
                <w:b/>
                <w:color w:val="0A2733"/>
                <w:sz w:val="19"/>
              </w:rPr>
              <w:t>Überprüfung des Entdeckungs-/Meldeprozesses</w:t>
            </w:r>
          </w:p>
        </w:tc>
        <w:tc>
          <w:tcPr>
            <w:tcW w:type="dxa" w:w="5953"/>
          </w:tcPr>
          <w:p>
            <w:r>
              <w:rPr>
                <w:i/>
                <w:color w:val="6B7C85"/>
                <w:sz w:val="18"/>
              </w:rPr>
              <w:t>wurden die 24-h-/72-h-Fristen eingehalten; was ist zu verbessern</w:t>
            </w:r>
          </w:p>
        </w:tc>
      </w:tr>
    </w:tbl>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2B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