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DORA Exit Strategy &amp; Exit Plan Template</w:t>
      </w:r>
    </w:p>
    <w:p>
      <w:r>
        <w:rPr>
          <w:b w:val="0"/>
          <w:i/>
          <w:sz w:val="22"/>
        </w:rPr>
        <w:t>Article 28(8), Regulation (EU) 2022/2554 · RTS (EU) 2024/1773 Article 10</w:t>
      </w:r>
    </w:p>
    <w:p>
      <w:r>
        <w:rPr>
          <w:b w:val="0"/>
          <w:i w:val="0"/>
          <w:sz w:val="18"/>
        </w:rPr>
        <w:t>FREE TEMPLATE — DOCX · PDF · MD | Version 1.0 · Updated 2026-07-17</w:t>
      </w:r>
    </w:p>
    <w:p>
      <w:r>
        <w:rPr>
          <w:b w:val="0"/>
          <w:i w:val="0"/>
          <w:sz w:val="18"/>
        </w:rPr>
        <w:t>How to use: Part A is completed once at entity level. Part B is completed once per contractual arrangement supporting a critical or important function (one plan per arrangement — RTS (EU) 2024/1773, Art 10). Part C logs every test and review. Part D is the activation runbook. Part E is a completed fictional example. Replace all [bracketed] guidance text. This template is a starting point, not legal advice.</w:t>
      </w:r>
    </w:p>
    <w:p>
      <w:r>
        <w:rPr>
          <w:b/>
          <w:i w:val="0"/>
          <w:sz w:val="18"/>
        </w:rPr>
        <w:t>Protected outcomes — every exit must complete (a) without disruption to business activities, (b) without limiting compliance with regulatory requirements, (c) without detriment to the continuity and quality of services provided to clients (Art 28(8)).</w:t>
      </w:r>
    </w:p>
    <w:p>
      <w:r>
        <w:br w:type="page"/>
      </w:r>
    </w:p>
    <w:p>
      <w:pPr>
        <w:pStyle w:val="Heading1"/>
      </w:pPr>
      <w:r>
        <w:rPr>
          <w:color w:val="0A2733"/>
        </w:rPr>
        <w:t>Part A — Entity-Level Exit Strategy</w:t>
      </w:r>
    </w:p>
    <w:p>
      <w:r>
        <w:rPr>
          <w:b w:val="0"/>
          <w:i/>
          <w:sz w:val="18"/>
        </w:rPr>
        <w:t>Completed once; reviewed at least annually and on material change.</w:t>
      </w:r>
    </w:p>
    <w:p>
      <w:pPr>
        <w:pStyle w:val="Heading2"/>
      </w:pPr>
      <w:r>
        <w:rPr>
          <w:color w:val="0A2733"/>
        </w:rPr>
        <w:t>A.1 Scope &amp; Governance</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Financial entity</w:t>
            </w:r>
          </w:p>
        </w:tc>
        <w:tc>
          <w:tcPr>
            <w:tcW w:type="dxa" w:w="6192"/>
          </w:tcPr>
          <w:p>
            <w:r>
              <w:rPr>
                <w:sz w:val="18"/>
              </w:rPr>
              <w:t>[Legal name · LEI]</w:t>
            </w:r>
          </w:p>
        </w:tc>
      </w:tr>
      <w:tr>
        <w:tc>
          <w:tcPr>
            <w:tcW w:type="dxa" w:w="3168"/>
            <w:shd w:val="clear" w:fill="EEF2F4"/>
          </w:tcPr>
          <w:p>
            <w:r>
              <w:rPr>
                <w:b/>
                <w:sz w:val="18"/>
              </w:rPr>
              <w:t>Entity type</w:t>
            </w:r>
          </w:p>
        </w:tc>
        <w:tc>
          <w:tcPr>
            <w:tcW w:type="dxa" w:w="6192"/>
          </w:tcPr>
          <w:p>
            <w:r>
              <w:rPr>
                <w:sz w:val="18"/>
              </w:rPr>
              <w:t>[Credit institution / payment institution / investment firm / insurer / …]</w:t>
            </w:r>
          </w:p>
        </w:tc>
      </w:tr>
      <w:tr>
        <w:tc>
          <w:tcPr>
            <w:tcW w:type="dxa" w:w="3168"/>
            <w:shd w:val="clear" w:fill="EEF2F4"/>
          </w:tcPr>
          <w:p>
            <w:r>
              <w:rPr>
                <w:b/>
                <w:sz w:val="18"/>
              </w:rPr>
              <w:t>Competent authority</w:t>
            </w:r>
          </w:p>
        </w:tc>
        <w:tc>
          <w:tcPr>
            <w:tcW w:type="dxa" w:w="6192"/>
          </w:tcPr>
          <w:p>
            <w:r>
              <w:rPr>
                <w:sz w:val="18"/>
              </w:rPr>
              <w:t>[BaFin / DNB / CBI / AMF / Finanstilsynet / …]</w:t>
            </w:r>
          </w:p>
        </w:tc>
      </w:tr>
      <w:tr>
        <w:tc>
          <w:tcPr>
            <w:tcW w:type="dxa" w:w="3168"/>
            <w:shd w:val="clear" w:fill="EEF2F4"/>
          </w:tcPr>
          <w:p>
            <w:r>
              <w:rPr>
                <w:b/>
                <w:sz w:val="18"/>
              </w:rPr>
              <w:t>Strategy owner</w:t>
            </w:r>
          </w:p>
        </w:tc>
        <w:tc>
          <w:tcPr>
            <w:tcW w:type="dxa" w:w="6192"/>
          </w:tcPr>
          <w:p>
            <w:r>
              <w:rPr>
                <w:sz w:val="18"/>
              </w:rPr>
              <w:t>[Role — e.g. Head of Third-Party Risk Management]</w:t>
            </w:r>
          </w:p>
        </w:tc>
      </w:tr>
      <w:tr>
        <w:tc>
          <w:tcPr>
            <w:tcW w:type="dxa" w:w="3168"/>
            <w:shd w:val="clear" w:fill="EEF2F4"/>
          </w:tcPr>
          <w:p>
            <w:r>
              <w:rPr>
                <w:b/>
                <w:sz w:val="18"/>
              </w:rPr>
              <w:t>Approval body</w:t>
            </w:r>
          </w:p>
        </w:tc>
        <w:tc>
          <w:tcPr>
            <w:tcW w:type="dxa" w:w="6192"/>
          </w:tcPr>
          <w:p>
            <w:r>
              <w:rPr>
                <w:sz w:val="18"/>
              </w:rPr>
              <w:t>[Management body / committee + date of approval]</w:t>
            </w:r>
          </w:p>
        </w:tc>
      </w:tr>
      <w:tr>
        <w:tc>
          <w:tcPr>
            <w:tcW w:type="dxa" w:w="3168"/>
            <w:shd w:val="clear" w:fill="EEF2F4"/>
          </w:tcPr>
          <w:p>
            <w:r>
              <w:rPr>
                <w:b/>
                <w:sz w:val="18"/>
              </w:rPr>
              <w:t>In-scope arrangements</w:t>
            </w:r>
          </w:p>
        </w:tc>
        <w:tc>
          <w:tcPr>
            <w:tcW w:type="dxa" w:w="6192"/>
          </w:tcPr>
          <w:p>
            <w:r>
              <w:rPr>
                <w:sz w:val="18"/>
              </w:rPr>
              <w:t>[List of contract references supporting critical or important functions — keyed to the Register of Information]</w:t>
            </w:r>
          </w:p>
        </w:tc>
      </w:tr>
      <w:tr>
        <w:tc>
          <w:tcPr>
            <w:tcW w:type="dxa" w:w="3168"/>
            <w:shd w:val="clear" w:fill="EEF2F4"/>
          </w:tcPr>
          <w:p>
            <w:r>
              <w:rPr>
                <w:b/>
                <w:sz w:val="18"/>
              </w:rPr>
              <w:t>Review cadence</w:t>
            </w:r>
          </w:p>
        </w:tc>
        <w:tc>
          <w:tcPr>
            <w:tcW w:type="dxa" w:w="6192"/>
          </w:tcPr>
          <w:p>
            <w:r>
              <w:rPr>
                <w:sz w:val="18"/>
              </w:rPr>
              <w:t>[At least annual + on material change; next review date]</w:t>
            </w:r>
          </w:p>
        </w:tc>
      </w:tr>
    </w:tbl>
    <w:p/>
    <w:p>
      <w:pPr>
        <w:pStyle w:val="Heading2"/>
      </w:pPr>
      <w:r>
        <w:rPr>
          <w:color w:val="0A2733"/>
        </w:rPr>
        <w:t>A.2 Risk Scenarios (Art 28(8))</w:t>
      </w:r>
    </w:p>
    <w:p>
      <w:r>
        <w:rPr>
          <w:b w:val="0"/>
          <w:i w:val="0"/>
          <w:sz w:val="18"/>
        </w:rPr>
        <w:t>The exit strategy must take into account, at minimum:</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Scenario 1 — Provider failure</w:t>
            </w:r>
          </w:p>
        </w:tc>
        <w:tc>
          <w:tcPr>
            <w:tcW w:type="dxa" w:w="6192"/>
          </w:tcPr>
          <w:p>
            <w:r>
              <w:rPr>
                <w:sz w:val="18"/>
              </w:rPr>
              <w:t>[Insolvency, resolution, sudden cessation of the ICT third-party service provider]</w:t>
            </w:r>
          </w:p>
        </w:tc>
      </w:tr>
      <w:tr>
        <w:tc>
          <w:tcPr>
            <w:tcW w:type="dxa" w:w="3168"/>
            <w:shd w:val="clear" w:fill="EEF2F4"/>
          </w:tcPr>
          <w:p>
            <w:r>
              <w:rPr>
                <w:b/>
                <w:sz w:val="18"/>
              </w:rPr>
              <w:t>Scenario 2 — Quality deterioration</w:t>
            </w:r>
          </w:p>
        </w:tc>
        <w:tc>
          <w:tcPr>
            <w:tcW w:type="dxa" w:w="6192"/>
          </w:tcPr>
          <w:p>
            <w:r>
              <w:rPr>
                <w:sz w:val="18"/>
              </w:rPr>
              <w:t>[Sustained degradation of the ICT services provided against agreed service levels]</w:t>
            </w:r>
          </w:p>
        </w:tc>
      </w:tr>
      <w:tr>
        <w:tc>
          <w:tcPr>
            <w:tcW w:type="dxa" w:w="3168"/>
            <w:shd w:val="clear" w:fill="EEF2F4"/>
          </w:tcPr>
          <w:p>
            <w:r>
              <w:rPr>
                <w:b/>
                <w:sz w:val="18"/>
              </w:rPr>
              <w:t>Scenario 3 — Business disruption</w:t>
            </w:r>
          </w:p>
        </w:tc>
        <w:tc>
          <w:tcPr>
            <w:tcW w:type="dxa" w:w="6192"/>
          </w:tcPr>
          <w:p>
            <w:r>
              <w:rPr>
                <w:sz w:val="18"/>
              </w:rPr>
              <w:t>[Disruption due to inappropriate or failed provision of ICT services]</w:t>
            </w:r>
          </w:p>
        </w:tc>
      </w:tr>
      <w:tr>
        <w:tc>
          <w:tcPr>
            <w:tcW w:type="dxa" w:w="3168"/>
            <w:shd w:val="clear" w:fill="EEF2F4"/>
          </w:tcPr>
          <w:p>
            <w:r>
              <w:rPr>
                <w:b/>
                <w:sz w:val="18"/>
              </w:rPr>
              <w:t>Scenario 4 — Material deployment risk</w:t>
            </w:r>
          </w:p>
        </w:tc>
        <w:tc>
          <w:tcPr>
            <w:tcW w:type="dxa" w:w="6192"/>
          </w:tcPr>
          <w:p>
            <w:r>
              <w:rPr>
                <w:sz w:val="18"/>
              </w:rPr>
              <w:t>[Material risk to the appropriate and continuous deployment of the ICT service — e.g. subcontracting-chain instability, geopolitical or legal-access risk]</w:t>
            </w:r>
          </w:p>
        </w:tc>
      </w:tr>
      <w:tr>
        <w:tc>
          <w:tcPr>
            <w:tcW w:type="dxa" w:w="3168"/>
            <w:shd w:val="clear" w:fill="EEF2F4"/>
          </w:tcPr>
          <w:p>
            <w:r>
              <w:rPr>
                <w:b/>
                <w:sz w:val="18"/>
              </w:rPr>
              <w:t>Scenario 5 — Art 28(7) termination</w:t>
            </w:r>
          </w:p>
        </w:tc>
        <w:tc>
          <w:tcPr>
            <w:tcW w:type="dxa" w:w="6192"/>
          </w:tcPr>
          <w:p>
            <w:r>
              <w:rPr>
                <w:sz w:val="18"/>
              </w:rPr>
              <w:t>[(a) significant breach of laws or contract; (b) monitoring findings capable of altering performance; (c) evidenced weaknesses in the provider's overall ICT risk management, incl. availability, authenticity, integrity, confidentiality of data; (d) the competent authority can no longer effectively supervise the entity]</w:t>
            </w:r>
          </w:p>
        </w:tc>
      </w:tr>
    </w:tbl>
    <w:p/>
    <w:p>
      <w:pPr>
        <w:pStyle w:val="Heading2"/>
      </w:pPr>
      <w:r>
        <w:rPr>
          <w:color w:val="0A2733"/>
        </w:rPr>
        <w:t>A.3 Alternatives-Assessment Method</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Substitutability rating scale</w:t>
            </w:r>
          </w:p>
        </w:tc>
        <w:tc>
          <w:tcPr>
            <w:tcW w:type="dxa" w:w="6192"/>
          </w:tcPr>
          <w:p>
            <w:r>
              <w:rPr>
                <w:sz w:val="18"/>
              </w:rPr>
              <w:t>[e.g. easily substitutable / substitutable with effort / difficult / not substitutable — align with your RoI B_07 assessments]</w:t>
            </w:r>
          </w:p>
        </w:tc>
      </w:tr>
      <w:tr>
        <w:tc>
          <w:tcPr>
            <w:tcW w:type="dxa" w:w="3168"/>
            <w:shd w:val="clear" w:fill="EEF2F4"/>
          </w:tcPr>
          <w:p>
            <w:r>
              <w:rPr>
                <w:b/>
                <w:sz w:val="18"/>
              </w:rPr>
              <w:t>Market-scan cadence</w:t>
            </w:r>
          </w:p>
        </w:tc>
        <w:tc>
          <w:tcPr>
            <w:tcW w:type="dxa" w:w="6192"/>
          </w:tcPr>
          <w:p>
            <w:r>
              <w:rPr>
                <w:sz w:val="18"/>
              </w:rPr>
              <w:t>[How often alternative providers are re-assessed per service category]</w:t>
            </w:r>
          </w:p>
        </w:tc>
      </w:tr>
      <w:tr>
        <w:tc>
          <w:tcPr>
            <w:tcW w:type="dxa" w:w="3168"/>
            <w:shd w:val="clear" w:fill="EEF2F4"/>
          </w:tcPr>
          <w:p>
            <w:r>
              <w:rPr>
                <w:b/>
                <w:sz w:val="18"/>
              </w:rPr>
              <w:t>In-house option policy</w:t>
            </w:r>
          </w:p>
        </w:tc>
        <w:tc>
          <w:tcPr>
            <w:tcW w:type="dxa" w:w="6192"/>
          </w:tcPr>
          <w:p>
            <w:r>
              <w:rPr>
                <w:sz w:val="18"/>
              </w:rPr>
              <w:t>[When reincorporation in-house is considered viable; capacity assumptions]</w:t>
            </w:r>
          </w:p>
        </w:tc>
      </w:tr>
      <w:tr>
        <w:tc>
          <w:tcPr>
            <w:tcW w:type="dxa" w:w="3168"/>
            <w:shd w:val="clear" w:fill="EEF2F4"/>
          </w:tcPr>
          <w:p>
            <w:r>
              <w:rPr>
                <w:b/>
                <w:sz w:val="18"/>
              </w:rPr>
              <w:t>Concentration-risk link</w:t>
            </w:r>
          </w:p>
        </w:tc>
        <w:tc>
          <w:tcPr>
            <w:tcW w:type="dxa" w:w="6192"/>
          </w:tcPr>
          <w:p>
            <w:r>
              <w:rPr>
                <w:sz w:val="18"/>
              </w:rPr>
              <w:t>[How multi-arrangement dependencies on one provider or one subcontractor are factored in]</w:t>
            </w:r>
          </w:p>
        </w:tc>
      </w:tr>
    </w:tbl>
    <w:p/>
    <w:p>
      <w:r>
        <w:br w:type="page"/>
      </w:r>
    </w:p>
    <w:p>
      <w:pPr>
        <w:pStyle w:val="Heading1"/>
      </w:pPr>
      <w:r>
        <w:rPr>
          <w:color w:val="0A2733"/>
        </w:rPr>
        <w:t>Part B — Exit Plan (one per arrangement)</w:t>
      </w:r>
    </w:p>
    <w:p>
      <w:r>
        <w:rPr>
          <w:b w:val="0"/>
          <w:i/>
          <w:sz w:val="18"/>
        </w:rPr>
        <w:t>Complete one Part B per contractual arrangement supporting a critical or important function.</w:t>
      </w:r>
    </w:p>
    <w:p>
      <w:pPr>
        <w:pStyle w:val="Heading2"/>
      </w:pPr>
      <w:r>
        <w:rPr>
          <w:color w:val="0A2733"/>
        </w:rPr>
        <w:t>B.1 Identification</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Contract reference (RoI key)</w:t>
            </w:r>
          </w:p>
        </w:tc>
        <w:tc>
          <w:tcPr>
            <w:tcW w:type="dxa" w:w="6192"/>
          </w:tcPr>
          <w:p>
            <w:r>
              <w:rPr>
                <w:sz w:val="18"/>
              </w:rPr>
              <w:t>[e.g. CTR-2024-018 — must match the Register of Information]</w:t>
            </w:r>
          </w:p>
        </w:tc>
      </w:tr>
      <w:tr>
        <w:tc>
          <w:tcPr>
            <w:tcW w:type="dxa" w:w="3168"/>
            <w:shd w:val="clear" w:fill="EEF2F4"/>
          </w:tcPr>
          <w:p>
            <w:r>
              <w:rPr>
                <w:b/>
                <w:sz w:val="18"/>
              </w:rPr>
              <w:t>ICT third-party provider</w:t>
            </w:r>
          </w:p>
        </w:tc>
        <w:tc>
          <w:tcPr>
            <w:tcW w:type="dxa" w:w="6192"/>
          </w:tcPr>
          <w:p>
            <w:r>
              <w:rPr>
                <w:sz w:val="18"/>
              </w:rPr>
              <w:t>[Legal name · LEI/EUID]</w:t>
            </w:r>
          </w:p>
        </w:tc>
      </w:tr>
      <w:tr>
        <w:tc>
          <w:tcPr>
            <w:tcW w:type="dxa" w:w="3168"/>
            <w:shd w:val="clear" w:fill="EEF2F4"/>
          </w:tcPr>
          <w:p>
            <w:r>
              <w:rPr>
                <w:b/>
                <w:sz w:val="18"/>
              </w:rPr>
              <w:t>ICT service</w:t>
            </w:r>
          </w:p>
        </w:tc>
        <w:tc>
          <w:tcPr>
            <w:tcW w:type="dxa" w:w="6192"/>
          </w:tcPr>
          <w:p>
            <w:r>
              <w:rPr>
                <w:sz w:val="18"/>
              </w:rPr>
              <w:t>[Service description + type (S01–S19 taxonomy code)]</w:t>
            </w:r>
          </w:p>
        </w:tc>
      </w:tr>
      <w:tr>
        <w:tc>
          <w:tcPr>
            <w:tcW w:type="dxa" w:w="3168"/>
            <w:shd w:val="clear" w:fill="EEF2F4"/>
          </w:tcPr>
          <w:p>
            <w:r>
              <w:rPr>
                <w:b/>
                <w:sz w:val="18"/>
              </w:rPr>
              <w:t>Critical/important function supported</w:t>
            </w:r>
          </w:p>
        </w:tc>
        <w:tc>
          <w:tcPr>
            <w:tcW w:type="dxa" w:w="6192"/>
          </w:tcPr>
          <w:p>
            <w:r>
              <w:rPr>
                <w:sz w:val="18"/>
              </w:rPr>
              <w:t>[Function name + Art 3(22) criticality reasoning reference]</w:t>
            </w:r>
          </w:p>
        </w:tc>
      </w:tr>
      <w:tr>
        <w:tc>
          <w:tcPr>
            <w:tcW w:type="dxa" w:w="3168"/>
            <w:shd w:val="clear" w:fill="EEF2F4"/>
          </w:tcPr>
          <w:p>
            <w:r>
              <w:rPr>
                <w:b/>
                <w:sz w:val="18"/>
              </w:rPr>
              <w:t>Plan owner</w:t>
            </w:r>
          </w:p>
        </w:tc>
        <w:tc>
          <w:tcPr>
            <w:tcW w:type="dxa" w:w="6192"/>
          </w:tcPr>
          <w:p>
            <w:r>
              <w:rPr>
                <w:sz w:val="18"/>
              </w:rPr>
              <w:t>[Role]</w:t>
            </w:r>
          </w:p>
        </w:tc>
      </w:tr>
      <w:tr>
        <w:tc>
          <w:tcPr>
            <w:tcW w:type="dxa" w:w="3168"/>
            <w:shd w:val="clear" w:fill="EEF2F4"/>
          </w:tcPr>
          <w:p>
            <w:r>
              <w:rPr>
                <w:b/>
                <w:sz w:val="18"/>
              </w:rPr>
              <w:t>Activation decision-maker</w:t>
            </w:r>
          </w:p>
        </w:tc>
        <w:tc>
          <w:tcPr>
            <w:tcW w:type="dxa" w:w="6192"/>
          </w:tcPr>
          <w:p>
            <w:r>
              <w:rPr>
                <w:sz w:val="18"/>
              </w:rPr>
              <w:t>[Role / committee empowered to trigger the exit]</w:t>
            </w:r>
          </w:p>
        </w:tc>
      </w:tr>
      <w:tr>
        <w:tc>
          <w:tcPr>
            <w:tcW w:type="dxa" w:w="3168"/>
            <w:shd w:val="clear" w:fill="EEF2F4"/>
          </w:tcPr>
          <w:p>
            <w:r>
              <w:rPr>
                <w:b/>
                <w:sz w:val="18"/>
              </w:rPr>
              <w:t>Plan version · date</w:t>
            </w:r>
          </w:p>
        </w:tc>
        <w:tc>
          <w:tcPr>
            <w:tcW w:type="dxa" w:w="6192"/>
          </w:tcPr>
          <w:p>
            <w:r>
              <w:rPr>
                <w:sz w:val="18"/>
              </w:rPr>
              <w:t>[v · YYYY-MM-DD]</w:t>
            </w:r>
          </w:p>
        </w:tc>
      </w:tr>
    </w:tbl>
    <w:p/>
    <w:p>
      <w:pPr>
        <w:pStyle w:val="Heading2"/>
      </w:pPr>
      <w:r>
        <w:rPr>
          <w:color w:val="0A2733"/>
        </w:rPr>
        <w:t>B.2 Exit Triggers</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Planned (non-stressed) triggers</w:t>
            </w:r>
          </w:p>
        </w:tc>
        <w:tc>
          <w:tcPr>
            <w:tcW w:type="dxa" w:w="6192"/>
          </w:tcPr>
          <w:p>
            <w:r>
              <w:rPr>
                <w:sz w:val="18"/>
              </w:rPr>
              <w:t>[Commercial renegotiation failure, strategic insourcing, provider strategy change, end of contract …]</w:t>
            </w:r>
          </w:p>
        </w:tc>
      </w:tr>
      <w:tr>
        <w:tc>
          <w:tcPr>
            <w:tcW w:type="dxa" w:w="3168"/>
            <w:shd w:val="clear" w:fill="EEF2F4"/>
          </w:tcPr>
          <w:p>
            <w:r>
              <w:rPr>
                <w:b/>
                <w:sz w:val="18"/>
              </w:rPr>
              <w:t>Stressed triggers</w:t>
            </w:r>
          </w:p>
        </w:tc>
        <w:tc>
          <w:tcPr>
            <w:tcW w:type="dxa" w:w="6192"/>
          </w:tcPr>
          <w:p>
            <w:r>
              <w:rPr>
                <w:sz w:val="18"/>
              </w:rPr>
              <w:t>[Provider insolvency/failure; Art 28(7)(a) significant breach; 28(7)(b) monitoring findings; 28(7)(c) evidenced ICT-risk weaknesses; 28(7)(d) supervisability; CTPP oversight recommendation]</w:t>
            </w:r>
          </w:p>
        </w:tc>
      </w:tr>
      <w:tr>
        <w:tc>
          <w:tcPr>
            <w:tcW w:type="dxa" w:w="3168"/>
            <w:shd w:val="clear" w:fill="EEF2F4"/>
          </w:tcPr>
          <w:p>
            <w:r>
              <w:rPr>
                <w:b/>
                <w:sz w:val="18"/>
              </w:rPr>
              <w:t>Trigger indicators / KRIs</w:t>
            </w:r>
          </w:p>
        </w:tc>
        <w:tc>
          <w:tcPr>
            <w:tcW w:type="dxa" w:w="6192"/>
          </w:tcPr>
          <w:p>
            <w:r>
              <w:rPr>
                <w:sz w:val="18"/>
              </w:rPr>
              <w:t>[The monitoring signals that surface each trigger — SLA breach counts, incident frequency, financial-health flags]</w:t>
            </w:r>
          </w:p>
        </w:tc>
      </w:tr>
    </w:tbl>
    <w:p/>
    <w:p>
      <w:pPr>
        <w:pStyle w:val="Heading2"/>
      </w:pPr>
      <w:r>
        <w:rPr>
          <w:color w:val="0A2733"/>
        </w:rPr>
        <w:t>B.3 Alternative Solution</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Alternative provider(s) assessed</w:t>
            </w:r>
          </w:p>
        </w:tc>
        <w:tc>
          <w:tcPr>
            <w:tcW w:type="dxa" w:w="6192"/>
          </w:tcPr>
          <w:p>
            <w:r>
              <w:rPr>
                <w:sz w:val="18"/>
              </w:rPr>
              <w:t>[Names + assessment date + result]</w:t>
            </w:r>
          </w:p>
        </w:tc>
      </w:tr>
      <w:tr>
        <w:tc>
          <w:tcPr>
            <w:tcW w:type="dxa" w:w="3168"/>
            <w:shd w:val="clear" w:fill="EEF2F4"/>
          </w:tcPr>
          <w:p>
            <w:r>
              <w:rPr>
                <w:b/>
                <w:sz w:val="18"/>
              </w:rPr>
              <w:t>In-house option</w:t>
            </w:r>
          </w:p>
        </w:tc>
        <w:tc>
          <w:tcPr>
            <w:tcW w:type="dxa" w:w="6192"/>
          </w:tcPr>
          <w:p>
            <w:r>
              <w:rPr>
                <w:sz w:val="18"/>
              </w:rPr>
              <w:t>[Feasible? Capacity, timeline, cost]</w:t>
            </w:r>
          </w:p>
        </w:tc>
      </w:tr>
      <w:tr>
        <w:tc>
          <w:tcPr>
            <w:tcW w:type="dxa" w:w="3168"/>
            <w:shd w:val="clear" w:fill="EEF2F4"/>
          </w:tcPr>
          <w:p>
            <w:r>
              <w:rPr>
                <w:b/>
                <w:sz w:val="18"/>
              </w:rPr>
              <w:t>Selected exit route</w:t>
            </w:r>
          </w:p>
        </w:tc>
        <w:tc>
          <w:tcPr>
            <w:tcW w:type="dxa" w:w="6192"/>
          </w:tcPr>
          <w:p>
            <w:r>
              <w:rPr>
                <w:sz w:val="18"/>
              </w:rPr>
              <w:t>[Alternative provider X / in-house / hybrid]</w:t>
            </w:r>
          </w:p>
        </w:tc>
      </w:tr>
      <w:tr>
        <w:tc>
          <w:tcPr>
            <w:tcW w:type="dxa" w:w="3168"/>
            <w:shd w:val="clear" w:fill="EEF2F4"/>
          </w:tcPr>
          <w:p>
            <w:r>
              <w:rPr>
                <w:b/>
                <w:sz w:val="18"/>
              </w:rPr>
              <w:t>Substitutability rating</w:t>
            </w:r>
          </w:p>
        </w:tc>
        <w:tc>
          <w:tcPr>
            <w:tcW w:type="dxa" w:w="6192"/>
          </w:tcPr>
          <w:p>
            <w:r>
              <w:rPr>
                <w:sz w:val="18"/>
              </w:rPr>
              <w:t>[Per A.3 scale]</w:t>
            </w:r>
          </w:p>
        </w:tc>
      </w:tr>
    </w:tbl>
    <w:p/>
    <w:p>
      <w:pPr>
        <w:pStyle w:val="Heading2"/>
      </w:pPr>
      <w:r>
        <w:rPr>
          <w:color w:val="0A2733"/>
        </w:rPr>
        <w:t>B.4 Transition Plan</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Phases &amp; timeline</w:t>
            </w:r>
          </w:p>
        </w:tc>
        <w:tc>
          <w:tcPr>
            <w:tcW w:type="dxa" w:w="6192"/>
          </w:tcPr>
          <w:p>
            <w:r>
              <w:rPr>
                <w:sz w:val="18"/>
              </w:rPr>
              <w:t>[Phase 1 preparation (…wks) → Phase 2 data migration (…wks) → Phase 3 parallel run (…wks) → Phase 4 cutover → Phase 5 decommission &amp; data deletion]</w:t>
            </w:r>
          </w:p>
        </w:tc>
      </w:tr>
      <w:tr>
        <w:tc>
          <w:tcPr>
            <w:tcW w:type="dxa" w:w="3168"/>
            <w:shd w:val="clear" w:fill="EEF2F4"/>
          </w:tcPr>
          <w:p>
            <w:r>
              <w:rPr>
                <w:b/>
                <w:sz w:val="18"/>
              </w:rPr>
              <w:t>Data inventory &amp; return format</w:t>
            </w:r>
          </w:p>
        </w:tc>
        <w:tc>
          <w:tcPr>
            <w:tcW w:type="dxa" w:w="6192"/>
          </w:tcPr>
          <w:p>
            <w:r>
              <w:rPr>
                <w:sz w:val="18"/>
              </w:rPr>
              <w:t>[Data sets held by the provider; agreed export format(s); volume]</w:t>
            </w:r>
          </w:p>
        </w:tc>
      </w:tr>
      <w:tr>
        <w:tc>
          <w:tcPr>
            <w:tcW w:type="dxa" w:w="3168"/>
            <w:shd w:val="clear" w:fill="EEF2F4"/>
          </w:tcPr>
          <w:p>
            <w:r>
              <w:rPr>
                <w:b/>
                <w:sz w:val="18"/>
              </w:rPr>
              <w:t>Secure transfer method</w:t>
            </w:r>
          </w:p>
        </w:tc>
        <w:tc>
          <w:tcPr>
            <w:tcW w:type="dxa" w:w="6192"/>
          </w:tcPr>
          <w:p>
            <w:r>
              <w:rPr>
                <w:sz w:val="18"/>
              </w:rPr>
              <w:t>[Mechanism, encryption in transit, integrity verification of transferred data]</w:t>
            </w:r>
          </w:p>
        </w:tc>
      </w:tr>
      <w:tr>
        <w:tc>
          <w:tcPr>
            <w:tcW w:type="dxa" w:w="3168"/>
            <w:shd w:val="clear" w:fill="EEF2F4"/>
          </w:tcPr>
          <w:p>
            <w:r>
              <w:rPr>
                <w:b/>
                <w:sz w:val="18"/>
              </w:rPr>
              <w:t>Parallel-run window</w:t>
            </w:r>
          </w:p>
        </w:tc>
        <w:tc>
          <w:tcPr>
            <w:tcW w:type="dxa" w:w="6192"/>
          </w:tcPr>
          <w:p>
            <w:r>
              <w:rPr>
                <w:sz w:val="18"/>
              </w:rPr>
              <w:t>[Duration + success criteria]</w:t>
            </w:r>
          </w:p>
        </w:tc>
      </w:tr>
      <w:tr>
        <w:tc>
          <w:tcPr>
            <w:tcW w:type="dxa" w:w="3168"/>
            <w:shd w:val="clear" w:fill="EEF2F4"/>
          </w:tcPr>
          <w:p>
            <w:r>
              <w:rPr>
                <w:b/>
                <w:sz w:val="18"/>
              </w:rPr>
              <w:t>Rollback criteria</w:t>
            </w:r>
          </w:p>
        </w:tc>
        <w:tc>
          <w:tcPr>
            <w:tcW w:type="dxa" w:w="6192"/>
          </w:tcPr>
          <w:p>
            <w:r>
              <w:rPr>
                <w:sz w:val="18"/>
              </w:rPr>
              <w:t>[Conditions under which cutover is reversed]</w:t>
            </w:r>
          </w:p>
        </w:tc>
      </w:tr>
      <w:tr>
        <w:tc>
          <w:tcPr>
            <w:tcW w:type="dxa" w:w="3168"/>
            <w:shd w:val="clear" w:fill="EEF2F4"/>
          </w:tcPr>
          <w:p>
            <w:r>
              <w:rPr>
                <w:b/>
                <w:sz w:val="18"/>
              </w:rPr>
              <w:t>Verification &amp; closure</w:t>
            </w:r>
          </w:p>
        </w:tc>
        <w:tc>
          <w:tcPr>
            <w:tcW w:type="dxa" w:w="6192"/>
          </w:tcPr>
          <w:p>
            <w:r>
              <w:rPr>
                <w:sz w:val="18"/>
              </w:rPr>
              <w:t>[Data deletion confirmation from provider; access revocation; RoI update]</w:t>
            </w:r>
          </w:p>
        </w:tc>
      </w:tr>
    </w:tbl>
    <w:p/>
    <w:p>
      <w:pPr>
        <w:pStyle w:val="Heading2"/>
      </w:pPr>
      <w:r>
        <w:rPr>
          <w:color w:val="0A2733"/>
        </w:rPr>
        <w:t>B.5 Contractual Anchors</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Transition period (Art 30(3)(f))</w:t>
            </w:r>
          </w:p>
        </w:tc>
        <w:tc>
          <w:tcPr>
            <w:tcW w:type="dxa" w:w="6192"/>
          </w:tcPr>
          <w:p>
            <w:r>
              <w:rPr>
                <w:sz w:val="18"/>
              </w:rPr>
              <w:t>[Mandatory adequate transition period agreed in the contract — the plan's schedule MUST fit inside it]</w:t>
            </w:r>
          </w:p>
        </w:tc>
      </w:tr>
      <w:tr>
        <w:tc>
          <w:tcPr>
            <w:tcW w:type="dxa" w:w="3168"/>
            <w:shd w:val="clear" w:fill="EEF2F4"/>
          </w:tcPr>
          <w:p>
            <w:r>
              <w:rPr>
                <w:b/>
                <w:sz w:val="18"/>
              </w:rPr>
              <w:t>Termination notice periods</w:t>
            </w:r>
          </w:p>
        </w:tc>
        <w:tc>
          <w:tcPr>
            <w:tcW w:type="dxa" w:w="6192"/>
          </w:tcPr>
          <w:p>
            <w:r>
              <w:rPr>
                <w:sz w:val="18"/>
              </w:rPr>
              <w:t>[Entity: … days · Provider: … days]</w:t>
            </w:r>
          </w:p>
        </w:tc>
      </w:tr>
      <w:tr>
        <w:tc>
          <w:tcPr>
            <w:tcW w:type="dxa" w:w="3168"/>
            <w:shd w:val="clear" w:fill="EEF2F4"/>
          </w:tcPr>
          <w:p>
            <w:r>
              <w:rPr>
                <w:b/>
                <w:sz w:val="18"/>
              </w:rPr>
              <w:t>Data return &amp; deletion clauses</w:t>
            </w:r>
          </w:p>
        </w:tc>
        <w:tc>
          <w:tcPr>
            <w:tcW w:type="dxa" w:w="6192"/>
          </w:tcPr>
          <w:p>
            <w:r>
              <w:rPr>
                <w:sz w:val="18"/>
              </w:rPr>
              <w:t>[Clause refs + formats guaranteed]</w:t>
            </w:r>
          </w:p>
        </w:tc>
      </w:tr>
      <w:tr>
        <w:tc>
          <w:tcPr>
            <w:tcW w:type="dxa" w:w="3168"/>
            <w:shd w:val="clear" w:fill="EEF2F4"/>
          </w:tcPr>
          <w:p>
            <w:r>
              <w:rPr>
                <w:b/>
                <w:sz w:val="18"/>
              </w:rPr>
              <w:t>Transition assistance</w:t>
            </w:r>
          </w:p>
        </w:tc>
        <w:tc>
          <w:tcPr>
            <w:tcW w:type="dxa" w:w="6192"/>
          </w:tcPr>
          <w:p>
            <w:r>
              <w:rPr>
                <w:sz w:val="18"/>
              </w:rPr>
              <w:t>[Provider obligations to support migration, incl. costs]</w:t>
            </w:r>
          </w:p>
        </w:tc>
      </w:tr>
      <w:tr>
        <w:tc>
          <w:tcPr>
            <w:tcW w:type="dxa" w:w="3168"/>
            <w:shd w:val="clear" w:fill="EEF2F4"/>
          </w:tcPr>
          <w:p>
            <w:r>
              <w:rPr>
                <w:b/>
                <w:sz w:val="18"/>
              </w:rPr>
              <w:t>Schedule-fit check</w:t>
            </w:r>
          </w:p>
        </w:tc>
        <w:tc>
          <w:tcPr>
            <w:tcW w:type="dxa" w:w="6192"/>
          </w:tcPr>
          <w:p>
            <w:r>
              <w:rPr>
                <w:sz w:val="18"/>
              </w:rPr>
              <w:t>[Does the B.4 timeline fit the transition period? YES / NO — if NO, contract remediation item]</w:t>
            </w:r>
          </w:p>
        </w:tc>
      </w:tr>
    </w:tbl>
    <w:p/>
    <w:p>
      <w:pPr>
        <w:pStyle w:val="Heading2"/>
      </w:pPr>
      <w:r>
        <w:rPr>
          <w:color w:val="0A2733"/>
        </w:rPr>
        <w:t>B.6 Contingency Measures</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Interim continuity measures</w:t>
            </w:r>
          </w:p>
        </w:tc>
        <w:tc>
          <w:tcPr>
            <w:tcW w:type="dxa" w:w="6192"/>
          </w:tcPr>
          <w:p>
            <w:r>
              <w:rPr>
                <w:sz w:val="18"/>
              </w:rPr>
              <w:t>[How the function keeps running mid-exit — degraded-mode procedures, temporary capacity, manual workarounds (Art 28(8) final subpara)]</w:t>
            </w:r>
          </w:p>
        </w:tc>
      </w:tr>
      <w:tr>
        <w:tc>
          <w:tcPr>
            <w:tcW w:type="dxa" w:w="3168"/>
            <w:shd w:val="clear" w:fill="EEF2F4"/>
          </w:tcPr>
          <w:p>
            <w:r>
              <w:rPr>
                <w:b/>
                <w:sz w:val="18"/>
              </w:rPr>
              <w:t>Client-impact mitigation</w:t>
            </w:r>
          </w:p>
        </w:tc>
        <w:tc>
          <w:tcPr>
            <w:tcW w:type="dxa" w:w="6192"/>
          </w:tcPr>
          <w:p>
            <w:r>
              <w:rPr>
                <w:sz w:val="18"/>
              </w:rPr>
              <w:t>[How continuity and quality of client services are protected during transition]</w:t>
            </w:r>
          </w:p>
        </w:tc>
      </w:tr>
      <w:tr>
        <w:tc>
          <w:tcPr>
            <w:tcW w:type="dxa" w:w="3168"/>
            <w:shd w:val="clear" w:fill="EEF2F4"/>
          </w:tcPr>
          <w:p>
            <w:r>
              <w:rPr>
                <w:b/>
                <w:sz w:val="18"/>
              </w:rPr>
              <w:t>Regulatory-compliance safeguards</w:t>
            </w:r>
          </w:p>
        </w:tc>
        <w:tc>
          <w:tcPr>
            <w:tcW w:type="dxa" w:w="6192"/>
          </w:tcPr>
          <w:p>
            <w:r>
              <w:rPr>
                <w:sz w:val="18"/>
              </w:rPr>
              <w:t>[Reporting obligations, data-protection continuity, record retention during migration]</w:t>
            </w:r>
          </w:p>
        </w:tc>
      </w:tr>
    </w:tbl>
    <w:p/>
    <w:p>
      <w:pPr>
        <w:pStyle w:val="Heading2"/>
      </w:pPr>
      <w:r>
        <w:rPr>
          <w:color w:val="0A2733"/>
        </w:rPr>
        <w:t>B.7 Cost &amp; Resourcing</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Exit cost estimate</w:t>
            </w:r>
          </w:p>
        </w:tc>
        <w:tc>
          <w:tcPr>
            <w:tcW w:type="dxa" w:w="6192"/>
          </w:tcPr>
          <w:p>
            <w:r>
              <w:rPr>
                <w:sz w:val="18"/>
              </w:rPr>
              <w:t>[One-off migration cost + provider transition-assistance fees]</w:t>
            </w:r>
          </w:p>
        </w:tc>
      </w:tr>
      <w:tr>
        <w:tc>
          <w:tcPr>
            <w:tcW w:type="dxa" w:w="3168"/>
            <w:shd w:val="clear" w:fill="EEF2F4"/>
          </w:tcPr>
          <w:p>
            <w:r>
              <w:rPr>
                <w:b/>
                <w:sz w:val="18"/>
              </w:rPr>
              <w:t>Internal resourcing</w:t>
            </w:r>
          </w:p>
        </w:tc>
        <w:tc>
          <w:tcPr>
            <w:tcW w:type="dxa" w:w="6192"/>
          </w:tcPr>
          <w:p>
            <w:r>
              <w:rPr>
                <w:sz w:val="18"/>
              </w:rPr>
              <w:t>[Teams, FTE-weeks, key-person dependencies]</w:t>
            </w:r>
          </w:p>
        </w:tc>
      </w:tr>
      <w:tr>
        <w:tc>
          <w:tcPr>
            <w:tcW w:type="dxa" w:w="3168"/>
            <w:shd w:val="clear" w:fill="EEF2F4"/>
          </w:tcPr>
          <w:p>
            <w:r>
              <w:rPr>
                <w:b/>
                <w:sz w:val="18"/>
              </w:rPr>
              <w:t>Timing constraints</w:t>
            </w:r>
          </w:p>
        </w:tc>
        <w:tc>
          <w:tcPr>
            <w:tcW w:type="dxa" w:w="6192"/>
          </w:tcPr>
          <w:p>
            <w:r>
              <w:rPr>
                <w:sz w:val="18"/>
              </w:rPr>
              <w:t>[Freeze periods, regulatory reporting windows, seasonal peaks]</w:t>
            </w:r>
          </w:p>
        </w:tc>
      </w:tr>
    </w:tbl>
    <w:p/>
    <w:p>
      <w:r>
        <w:br w:type="page"/>
      </w:r>
    </w:p>
    <w:p>
      <w:pPr>
        <w:pStyle w:val="Heading1"/>
      </w:pPr>
      <w:r>
        <w:rPr>
          <w:color w:val="0A2733"/>
        </w:rPr>
        <w:t>Part C — Exit Plan Testing &amp; Review Log</w:t>
      </w:r>
    </w:p>
    <w:p>
      <w:r>
        <w:rPr>
          <w:b w:val="0"/>
          <w:i/>
          <w:sz w:val="18"/>
        </w:rPr>
        <w:t>Art 28(8): plans shall be sufficiently tested and reviewed periodically. RTS (EU) 2024/1773 Art 10: testing shall take into account unforeseen and persistent service interruptions; plans must be realistic, feasible, based on plausible scenarios and reasonable assumptions.</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shd w:val="clear" w:fill="0A2733"/>
          </w:tcPr>
          <w:p>
            <w:r>
              <w:rPr>
                <w:b/>
                <w:color w:val="FFFFFF"/>
                <w:sz w:val="16"/>
              </w:rPr>
              <w:t>Date</w:t>
            </w:r>
          </w:p>
        </w:tc>
        <w:tc>
          <w:tcPr>
            <w:tcW w:type="dxa" w:w="1234"/>
            <w:shd w:val="clear" w:fill="0A2733"/>
          </w:tcPr>
          <w:p>
            <w:r>
              <w:rPr>
                <w:b/>
                <w:color w:val="FFFFFF"/>
                <w:sz w:val="16"/>
              </w:rPr>
              <w:t>Contract ref</w:t>
            </w:r>
          </w:p>
        </w:tc>
        <w:tc>
          <w:tcPr>
            <w:tcW w:type="dxa" w:w="1234"/>
            <w:shd w:val="clear" w:fill="0A2733"/>
          </w:tcPr>
          <w:p>
            <w:r>
              <w:rPr>
                <w:b/>
                <w:color w:val="FFFFFF"/>
                <w:sz w:val="16"/>
              </w:rPr>
              <w:t>Scenario tested</w:t>
            </w:r>
          </w:p>
        </w:tc>
        <w:tc>
          <w:tcPr>
            <w:tcW w:type="dxa" w:w="1234"/>
            <w:shd w:val="clear" w:fill="0A2733"/>
          </w:tcPr>
          <w:p>
            <w:r>
              <w:rPr>
                <w:b/>
                <w:color w:val="FFFFFF"/>
                <w:sz w:val="16"/>
              </w:rPr>
              <w:t>Test type</w:t>
            </w:r>
          </w:p>
        </w:tc>
        <w:tc>
          <w:tcPr>
            <w:tcW w:type="dxa" w:w="1234"/>
            <w:shd w:val="clear" w:fill="0A2733"/>
          </w:tcPr>
          <w:p>
            <w:r>
              <w:rPr>
                <w:b/>
                <w:color w:val="FFFFFF"/>
                <w:sz w:val="16"/>
              </w:rPr>
              <w:t>Participants</w:t>
            </w:r>
          </w:p>
        </w:tc>
        <w:tc>
          <w:tcPr>
            <w:tcW w:type="dxa" w:w="1234"/>
            <w:shd w:val="clear" w:fill="0A2733"/>
          </w:tcPr>
          <w:p>
            <w:r>
              <w:rPr>
                <w:b/>
                <w:color w:val="FFFFFF"/>
                <w:sz w:val="16"/>
              </w:rPr>
              <w:t>Findings</w:t>
            </w:r>
          </w:p>
        </w:tc>
        <w:tc>
          <w:tcPr>
            <w:tcW w:type="dxa" w:w="1234"/>
            <w:shd w:val="clear" w:fill="0A2733"/>
          </w:tcPr>
          <w:p>
            <w:r>
              <w:rPr>
                <w:b/>
                <w:color w:val="FFFFFF"/>
                <w:sz w:val="16"/>
              </w:rPr>
              <w:t>Remediation · next test</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bl>
    <w:p>
      <w:r>
        <w:rPr>
          <w:b w:val="0"/>
          <w:i w:val="0"/>
          <w:sz w:val="16"/>
        </w:rPr>
      </w:r>
    </w:p>
    <w:p>
      <w:r>
        <w:rPr>
          <w:b w:val="0"/>
          <w:i/>
          <w:sz w:val="16"/>
        </w:rPr>
        <w:t>Test types: tabletop / walkthrough · partial data-extraction test · restore/import verification · full simulation. Scenario set must include at least one unforeseen-interruption and one persistent-interruption case.</w:t>
      </w:r>
    </w:p>
    <w:p>
      <w:r>
        <w:br w:type="page"/>
      </w:r>
    </w:p>
    <w:p>
      <w:pPr>
        <w:pStyle w:val="Heading1"/>
      </w:pPr>
      <w:r>
        <w:rPr>
          <w:color w:val="0A2733"/>
        </w:rPr>
        <w:t>Part D — Activation Runbook (skeleton)</w:t>
      </w:r>
    </w:p>
    <w:tbl>
      <w:tblPr>
        <w:tblStyle w:val="TableGrid"/>
        <w:tblW w:type="auto" w:w="0"/>
        <w:jc w:val="left"/>
        <w:tblLook w:firstColumn="1" w:firstRow="1" w:lastColumn="0" w:lastRow="0" w:noHBand="0" w:noVBand="1" w:val="04A0"/>
      </w:tblPr>
      <w:tblGrid>
        <w:gridCol w:w="4320"/>
        <w:gridCol w:w="4320"/>
      </w:tblGrid>
      <w:tr>
        <w:tc>
          <w:tcPr>
            <w:tcW w:type="dxa" w:w="1728"/>
            <w:shd w:val="clear" w:fill="EEF2F4"/>
          </w:tcPr>
          <w:p>
            <w:r>
              <w:rPr>
                <w:b/>
                <w:sz w:val="18"/>
              </w:rPr>
              <w:t>1. Declare</w:t>
            </w:r>
          </w:p>
        </w:tc>
        <w:tc>
          <w:tcPr>
            <w:tcW w:type="dxa" w:w="7632"/>
          </w:tcPr>
          <w:p>
            <w:r>
              <w:rPr>
                <w:sz w:val="18"/>
              </w:rPr>
              <w:t>Activation decision-maker confirms the trigger and declares the exit (planned or stressed); record decision + time.</w:t>
            </w:r>
          </w:p>
        </w:tc>
      </w:tr>
      <w:tr>
        <w:tc>
          <w:tcPr>
            <w:tcW w:type="dxa" w:w="1728"/>
            <w:shd w:val="clear" w:fill="EEF2F4"/>
          </w:tcPr>
          <w:p>
            <w:r>
              <w:rPr>
                <w:b/>
                <w:sz w:val="18"/>
              </w:rPr>
              <w:t>2. Notify</w:t>
            </w:r>
          </w:p>
        </w:tc>
        <w:tc>
          <w:tcPr>
            <w:tcW w:type="dxa" w:w="7632"/>
          </w:tcPr>
          <w:p>
            <w:r>
              <w:rPr>
                <w:sz w:val="18"/>
              </w:rPr>
              <w:t>Internal stakeholders; the provider (per contractual notice); the competent authority where required; affected clients per client-communication plan.</w:t>
            </w:r>
          </w:p>
        </w:tc>
      </w:tr>
      <w:tr>
        <w:tc>
          <w:tcPr>
            <w:tcW w:type="dxa" w:w="1728"/>
            <w:shd w:val="clear" w:fill="EEF2F4"/>
          </w:tcPr>
          <w:p>
            <w:r>
              <w:rPr>
                <w:b/>
                <w:sz w:val="18"/>
              </w:rPr>
              <w:t>3. Freeze</w:t>
            </w:r>
          </w:p>
        </w:tc>
        <w:tc>
          <w:tcPr>
            <w:tcW w:type="dxa" w:w="7632"/>
          </w:tcPr>
          <w:p>
            <w:r>
              <w:rPr>
                <w:sz w:val="18"/>
              </w:rPr>
              <w:t>Freeze scope changes on the arrangement; secure current data snapshot; re-validate the data inventory.</w:t>
            </w:r>
          </w:p>
        </w:tc>
      </w:tr>
      <w:tr>
        <w:tc>
          <w:tcPr>
            <w:tcW w:type="dxa" w:w="1728"/>
            <w:shd w:val="clear" w:fill="EEF2F4"/>
          </w:tcPr>
          <w:p>
            <w:r>
              <w:rPr>
                <w:b/>
                <w:sz w:val="18"/>
              </w:rPr>
              <w:t>4. Execute</w:t>
            </w:r>
          </w:p>
        </w:tc>
        <w:tc>
          <w:tcPr>
            <w:tcW w:type="dxa" w:w="7632"/>
          </w:tcPr>
          <w:p>
            <w:r>
              <w:rPr>
                <w:sz w:val="18"/>
              </w:rPr>
              <w:t>Run B.4 transition phases; track against the Art 30(3)(f) transition period; stand up B.6 contingency measures as needed.</w:t>
            </w:r>
          </w:p>
        </w:tc>
      </w:tr>
      <w:tr>
        <w:tc>
          <w:tcPr>
            <w:tcW w:type="dxa" w:w="1728"/>
            <w:shd w:val="clear" w:fill="EEF2F4"/>
          </w:tcPr>
          <w:p>
            <w:r>
              <w:rPr>
                <w:b/>
                <w:sz w:val="18"/>
              </w:rPr>
              <w:t>5. Verify</w:t>
            </w:r>
          </w:p>
        </w:tc>
        <w:tc>
          <w:tcPr>
            <w:tcW w:type="dxa" w:w="7632"/>
          </w:tcPr>
          <w:p>
            <w:r>
              <w:rPr>
                <w:sz w:val="18"/>
              </w:rPr>
              <w:t>Confirm data return in agreed format; verify integrity; obtain provider deletion confirmation; revoke access.</w:t>
            </w:r>
          </w:p>
        </w:tc>
      </w:tr>
      <w:tr>
        <w:tc>
          <w:tcPr>
            <w:tcW w:type="dxa" w:w="1728"/>
            <w:shd w:val="clear" w:fill="EEF2F4"/>
          </w:tcPr>
          <w:p>
            <w:r>
              <w:rPr>
                <w:b/>
                <w:sz w:val="18"/>
              </w:rPr>
              <w:t>6. Close</w:t>
            </w:r>
          </w:p>
        </w:tc>
        <w:tc>
          <w:tcPr>
            <w:tcW w:type="dxa" w:w="7632"/>
          </w:tcPr>
          <w:p>
            <w:r>
              <w:rPr>
                <w:sz w:val="18"/>
              </w:rPr>
              <w:t>Update the Register of Information; post-exit review; feed lessons into Part A and remaining Part B plans.</w:t>
            </w:r>
          </w:p>
        </w:tc>
      </w:tr>
    </w:tbl>
    <w:p/>
    <w:p>
      <w:r>
        <w:br w:type="page"/>
      </w:r>
    </w:p>
    <w:p>
      <w:pPr>
        <w:pStyle w:val="Heading1"/>
      </w:pPr>
      <w:r>
        <w:rPr>
          <w:color w:val="0A2733"/>
        </w:rPr>
        <w:t>Part E — Completed Example (fictional)</w:t>
      </w:r>
    </w:p>
    <w:p>
      <w:r>
        <w:rPr>
          <w:b w:val="0"/>
          <w:i/>
          <w:sz w:val="18"/>
        </w:rPr>
        <w:t>Nordbank SE (fictional) exiting CloudCore GmbH (fictional) — consistent with the example universe in our DORA Register of Information starter and ICT provider evidence checklist.</w:t>
      </w:r>
    </w:p>
    <w:p>
      <w:pPr>
        <w:pStyle w:val="Heading2"/>
      </w:pPr>
      <w:r>
        <w:rPr>
          <w:color w:val="0A2733"/>
        </w:rPr>
        <w:t>E.1 Identification</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Contract reference (RoI key)</w:t>
            </w:r>
          </w:p>
        </w:tc>
        <w:tc>
          <w:tcPr>
            <w:tcW w:type="dxa" w:w="6192"/>
          </w:tcPr>
          <w:p>
            <w:r>
              <w:rPr>
                <w:sz w:val="18"/>
              </w:rPr>
              <w:t>CTR-2024-018</w:t>
            </w:r>
          </w:p>
        </w:tc>
      </w:tr>
      <w:tr>
        <w:tc>
          <w:tcPr>
            <w:tcW w:type="dxa" w:w="3168"/>
            <w:shd w:val="clear" w:fill="EEF2F4"/>
          </w:tcPr>
          <w:p>
            <w:r>
              <w:rPr>
                <w:b/>
                <w:sz w:val="18"/>
              </w:rPr>
              <w:t>ICT third-party provider</w:t>
            </w:r>
          </w:p>
        </w:tc>
        <w:tc>
          <w:tcPr>
            <w:tcW w:type="dxa" w:w="6192"/>
          </w:tcPr>
          <w:p>
            <w:r>
              <w:rPr>
                <w:sz w:val="18"/>
              </w:rPr>
              <w:t>CloudCore GmbH · LEI 529900EXAMPLE0000018</w:t>
            </w:r>
          </w:p>
        </w:tc>
      </w:tr>
      <w:tr>
        <w:tc>
          <w:tcPr>
            <w:tcW w:type="dxa" w:w="3168"/>
            <w:shd w:val="clear" w:fill="EEF2F4"/>
          </w:tcPr>
          <w:p>
            <w:r>
              <w:rPr>
                <w:b/>
                <w:sz w:val="18"/>
              </w:rPr>
              <w:t>ICT service</w:t>
            </w:r>
          </w:p>
        </w:tc>
        <w:tc>
          <w:tcPr>
            <w:tcW w:type="dxa" w:w="6192"/>
          </w:tcPr>
          <w:p>
            <w:r>
              <w:rPr>
                <w:sz w:val="18"/>
              </w:rPr>
              <w:t>Core-banking hosting platform — S17 (Infrastructure-as-a-service)</w:t>
            </w:r>
          </w:p>
        </w:tc>
      </w:tr>
      <w:tr>
        <w:tc>
          <w:tcPr>
            <w:tcW w:type="dxa" w:w="3168"/>
            <w:shd w:val="clear" w:fill="EEF2F4"/>
          </w:tcPr>
          <w:p>
            <w:r>
              <w:rPr>
                <w:b/>
                <w:sz w:val="18"/>
              </w:rPr>
              <w:t>Critical/important function supported</w:t>
            </w:r>
          </w:p>
        </w:tc>
        <w:tc>
          <w:tcPr>
            <w:tcW w:type="dxa" w:w="6192"/>
          </w:tcPr>
          <w:p>
            <w:r>
              <w:rPr>
                <w:sz w:val="18"/>
              </w:rPr>
              <w:t>Retail payment processing (critical — Art 3(22) test documented in RoI B_06.01)</w:t>
            </w:r>
          </w:p>
        </w:tc>
      </w:tr>
      <w:tr>
        <w:tc>
          <w:tcPr>
            <w:tcW w:type="dxa" w:w="3168"/>
            <w:shd w:val="clear" w:fill="EEF2F4"/>
          </w:tcPr>
          <w:p>
            <w:r>
              <w:rPr>
                <w:b/>
                <w:sz w:val="18"/>
              </w:rPr>
              <w:t>Plan owner</w:t>
            </w:r>
          </w:p>
        </w:tc>
        <w:tc>
          <w:tcPr>
            <w:tcW w:type="dxa" w:w="6192"/>
          </w:tcPr>
          <w:p>
            <w:r>
              <w:rPr>
                <w:sz w:val="18"/>
              </w:rPr>
              <w:t>Head of Third-Party Risk Management</w:t>
            </w:r>
          </w:p>
        </w:tc>
      </w:tr>
      <w:tr>
        <w:tc>
          <w:tcPr>
            <w:tcW w:type="dxa" w:w="3168"/>
            <w:shd w:val="clear" w:fill="EEF2F4"/>
          </w:tcPr>
          <w:p>
            <w:r>
              <w:rPr>
                <w:b/>
                <w:sz w:val="18"/>
              </w:rPr>
              <w:t>Activation decision-maker</w:t>
            </w:r>
          </w:p>
        </w:tc>
        <w:tc>
          <w:tcPr>
            <w:tcW w:type="dxa" w:w="6192"/>
          </w:tcPr>
          <w:p>
            <w:r>
              <w:rPr>
                <w:sz w:val="18"/>
              </w:rPr>
              <w:t>Operational Resilience Committee</w:t>
            </w:r>
          </w:p>
        </w:tc>
      </w:tr>
      <w:tr>
        <w:tc>
          <w:tcPr>
            <w:tcW w:type="dxa" w:w="3168"/>
            <w:shd w:val="clear" w:fill="EEF2F4"/>
          </w:tcPr>
          <w:p>
            <w:r>
              <w:rPr>
                <w:b/>
                <w:sz w:val="18"/>
              </w:rPr>
              <w:t>Plan version · date</w:t>
            </w:r>
          </w:p>
        </w:tc>
        <w:tc>
          <w:tcPr>
            <w:tcW w:type="dxa" w:w="6192"/>
          </w:tcPr>
          <w:p>
            <w:r>
              <w:rPr>
                <w:sz w:val="18"/>
              </w:rPr>
              <w:t>v2.1 · 2026-05-12</w:t>
            </w:r>
          </w:p>
        </w:tc>
      </w:tr>
    </w:tbl>
    <w:p/>
    <w:p>
      <w:pPr>
        <w:pStyle w:val="Heading2"/>
      </w:pPr>
      <w:r>
        <w:rPr>
          <w:color w:val="0A2733"/>
        </w:rPr>
        <w:t>E.2 Triggers (excerpt)</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Planned</w:t>
            </w:r>
          </w:p>
        </w:tc>
        <w:tc>
          <w:tcPr>
            <w:tcW w:type="dxa" w:w="6192"/>
          </w:tcPr>
          <w:p>
            <w:r>
              <w:rPr>
                <w:sz w:val="18"/>
              </w:rPr>
              <w:t>Contract expiry 2027-02-28 without renewal agreement by 2026-09-30</w:t>
            </w:r>
          </w:p>
        </w:tc>
      </w:tr>
      <w:tr>
        <w:tc>
          <w:tcPr>
            <w:tcW w:type="dxa" w:w="3168"/>
            <w:shd w:val="clear" w:fill="EEF2F4"/>
          </w:tcPr>
          <w:p>
            <w:r>
              <w:rPr>
                <w:b/>
                <w:sz w:val="18"/>
              </w:rPr>
              <w:t>Stressed</w:t>
            </w:r>
          </w:p>
        </w:tc>
        <w:tc>
          <w:tcPr>
            <w:tcW w:type="dxa" w:w="6192"/>
          </w:tcPr>
          <w:p>
            <w:r>
              <w:rPr>
                <w:sz w:val="18"/>
              </w:rPr>
              <w:t>CloudCore insolvency; repeated Art 28(7)(c) findings — two sustained availability breaches (&lt;99.5% monthly) in any rolling 6 months; supervisory restriction on the provider</w:t>
            </w:r>
          </w:p>
        </w:tc>
      </w:tr>
    </w:tbl>
    <w:p/>
    <w:p>
      <w:pPr>
        <w:pStyle w:val="Heading2"/>
      </w:pPr>
      <w:r>
        <w:rPr>
          <w:color w:val="0A2733"/>
        </w:rPr>
        <w:t>E.3 Alternative &amp; Transition (excerpt)</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Selected exit route</w:t>
            </w:r>
          </w:p>
        </w:tc>
        <w:tc>
          <w:tcPr>
            <w:tcW w:type="dxa" w:w="6192"/>
          </w:tcPr>
          <w:p>
            <w:r>
              <w:rPr>
                <w:sz w:val="18"/>
              </w:rPr>
              <w:t>Alternative provider: HanseCloud AB (assessed 2026-03, contract-ready); in-house rejected (capacity)</w:t>
            </w:r>
          </w:p>
        </w:tc>
      </w:tr>
      <w:tr>
        <w:tc>
          <w:tcPr>
            <w:tcW w:type="dxa" w:w="3168"/>
            <w:shd w:val="clear" w:fill="EEF2F4"/>
          </w:tcPr>
          <w:p>
            <w:r>
              <w:rPr>
                <w:b/>
                <w:sz w:val="18"/>
              </w:rPr>
              <w:t>Phases &amp; timeline</w:t>
            </w:r>
          </w:p>
        </w:tc>
        <w:tc>
          <w:tcPr>
            <w:tcW w:type="dxa" w:w="6192"/>
          </w:tcPr>
          <w:p>
            <w:r>
              <w:rPr>
                <w:sz w:val="18"/>
              </w:rPr>
              <w:t>Preparation 4 wks → data migration 6 wks → parallel run 4 wks → cutover 1 wk → decommission 3 wks = 18 wks total</w:t>
            </w:r>
          </w:p>
        </w:tc>
      </w:tr>
      <w:tr>
        <w:tc>
          <w:tcPr>
            <w:tcW w:type="dxa" w:w="3168"/>
            <w:shd w:val="clear" w:fill="EEF2F4"/>
          </w:tcPr>
          <w:p>
            <w:r>
              <w:rPr>
                <w:b/>
                <w:sz w:val="18"/>
              </w:rPr>
              <w:t>Transition period (Art 30(3)(f))</w:t>
            </w:r>
          </w:p>
        </w:tc>
        <w:tc>
          <w:tcPr>
            <w:tcW w:type="dxa" w:w="6192"/>
          </w:tcPr>
          <w:p>
            <w:r>
              <w:rPr>
                <w:sz w:val="18"/>
              </w:rPr>
              <w:t>24 months from termination notice — 18-wk plan fits; YES</w:t>
            </w:r>
          </w:p>
        </w:tc>
      </w:tr>
      <w:tr>
        <w:tc>
          <w:tcPr>
            <w:tcW w:type="dxa" w:w="3168"/>
            <w:shd w:val="clear" w:fill="EEF2F4"/>
          </w:tcPr>
          <w:p>
            <w:r>
              <w:rPr>
                <w:b/>
                <w:sz w:val="18"/>
              </w:rPr>
              <w:t>Data return format</w:t>
            </w:r>
          </w:p>
        </w:tc>
        <w:tc>
          <w:tcPr>
            <w:tcW w:type="dxa" w:w="6192"/>
          </w:tcPr>
          <w:p>
            <w:r>
              <w:rPr>
                <w:sz w:val="18"/>
              </w:rPr>
              <w:t>Full PostgreSQL dumps + object storage export (S3-compatible), AES-256 in transit, SHA-256 manifest verification</w:t>
            </w:r>
          </w:p>
        </w:tc>
      </w:tr>
      <w:tr>
        <w:tc>
          <w:tcPr>
            <w:tcW w:type="dxa" w:w="3168"/>
            <w:shd w:val="clear" w:fill="EEF2F4"/>
          </w:tcPr>
          <w:p>
            <w:r>
              <w:rPr>
                <w:b/>
                <w:sz w:val="18"/>
              </w:rPr>
              <w:t>Contingency</w:t>
            </w:r>
          </w:p>
        </w:tc>
        <w:tc>
          <w:tcPr>
            <w:tcW w:type="dxa" w:w="6192"/>
          </w:tcPr>
          <w:p>
            <w:r>
              <w:rPr>
                <w:sz w:val="18"/>
              </w:rPr>
              <w:t>Degraded-mode payment queue via secondary processing site (RTO 4h) during cutover window</w:t>
            </w:r>
          </w:p>
        </w:tc>
      </w:tr>
    </w:tbl>
    <w:p/>
    <w:p>
      <w:pPr>
        <w:pStyle w:val="Heading2"/>
      </w:pPr>
      <w:r>
        <w:rPr>
          <w:color w:val="0A2733"/>
        </w:rPr>
        <w:t>E.4 Latest test (excerpt)</w:t>
      </w:r>
    </w:p>
    <w:tbl>
      <w:tblPr>
        <w:tblStyle w:val="TableGrid"/>
        <w:tblW w:type="auto" w:w="0"/>
        <w:jc w:val="left"/>
        <w:tblLook w:firstColumn="1" w:firstRow="1" w:lastColumn="0" w:lastRow="0" w:noHBand="0" w:noVBand="1" w:val="04A0"/>
      </w:tblPr>
      <w:tblGrid>
        <w:gridCol w:w="4320"/>
        <w:gridCol w:w="4320"/>
      </w:tblGrid>
      <w:tr>
        <w:tc>
          <w:tcPr>
            <w:tcW w:type="dxa" w:w="2592"/>
            <w:shd w:val="clear" w:fill="EEF2F4"/>
          </w:tcPr>
          <w:p>
            <w:r>
              <w:rPr>
                <w:b/>
                <w:sz w:val="18"/>
              </w:rPr>
              <w:t>2026-04-22 · CTR-2024-018</w:t>
            </w:r>
          </w:p>
        </w:tc>
        <w:tc>
          <w:tcPr>
            <w:tcW w:type="dxa" w:w="6768"/>
          </w:tcPr>
          <w:p>
            <w:r>
              <w:rPr>
                <w:sz w:val="18"/>
              </w:rPr>
              <w:t>Scenario: persistent interruption (provider insolvency). Type: tabletop + partial data-extraction test (5% sample, integrity verified). Findings: export throughput 40% below assumption — migration phase re-planned 4→6 wks. Remediation closed 2026-05-12; next test 2027-04.</w:t>
            </w:r>
          </w:p>
        </w:tc>
      </w:tr>
    </w:tbl>
    <w:p/>
    <w:p>
      <w:r>
        <w:rPr>
          <w:b w:val="0"/>
          <w:i w:val="0"/>
          <w:sz w:val="20"/>
        </w:rPr>
      </w:r>
    </w:p>
    <w:p>
      <w:r>
        <w:rPr>
          <w:b w:val="0"/>
          <w:i/>
          <w:sz w:val="16"/>
        </w:rPr>
        <w:t>Orbiq · DORA Exit Strategy &amp; Exit Plan Template v1.0 · 2026-07-17 · orbiqhq.com/templates/dora-exit-strategy-plan · Free to use and adapt within your organisation. Not legal advice.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