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A2733"/>
        </w:rPr>
        <w:t>DPIA Template — GDPR Article 35</w:t>
      </w:r>
    </w:p>
    <w:p>
      <w:r>
        <w:rPr>
          <w:color w:val="5A6A72"/>
          <w:sz w:val="24"/>
        </w:rPr>
        <w:t>Data Protection Impact Assessment · screening → description → necessity → risk matrix → sign-off · with AI annex</w:t>
      </w:r>
    </w:p>
    <w:p>
      <w:r>
        <w:rPr>
          <w:b/>
          <w:color w:val="B88A00"/>
          <w:sz w:val="18"/>
        </w:rPr>
        <w:t>FREE TEMPLATE — DOCX · PDF · MD    |    Version 1.0 · Updated 2026-07-15</w:t>
      </w:r>
    </w:p>
    <w:p>
      <w:r>
        <w:rPr>
          <w:i/>
          <w:color w:val="5A6A72"/>
          <w:sz w:val="18"/>
        </w:rPr>
        <w:t>Complete BEFORE the processing starts (Art 35(1)). Sections 4–11 are the mandatory Art 35(7)(a)–(d) content. Where a DPO is designated, their advice is mandatory (Art 35(2)). If high residual risk remains, consult your supervisory authority before processing (Art 36 — written advice within 8 weeks, extendable by 6). Review at least when the risk changes (Art 35(11)).</w:t>
      </w:r>
    </w:p>
    <w:p>
      <w:pPr>
        <w:pStyle w:val="Heading1"/>
      </w:pPr>
      <w:r>
        <w:t>1. 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DPIA reference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Internal ID, e.g. DPIA-2026-004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Processing / feature name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Short name of the processing under assessment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Controller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Legal entity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Assessor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Person completing this DPIA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Date started / approved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Lifecycle dates</w:t>
            </w:r>
          </w:p>
        </w:tc>
      </w:tr>
    </w:tbl>
    <w:p/>
    <w:p>
      <w:pPr>
        <w:pStyle w:val="Heading1"/>
      </w:pPr>
      <w:r>
        <w:t>2. Screening — is a DPIA required?</w:t>
      </w:r>
    </w:p>
    <w:p>
      <w:pPr>
        <w:pStyle w:val="Heading3"/>
      </w:pPr>
      <w:r>
        <w:t>2a. Article 35(3) always-DPIA cases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2C744"/>
          </w:tcPr>
          <w:p>
            <w:r>
              <w:rPr>
                <w:b/>
                <w:color w:val="0A2733"/>
                <w:sz w:val="17"/>
              </w:rPr>
              <w:t>Case</w:t>
            </w:r>
          </w:p>
        </w:tc>
        <w:tc>
          <w:tcPr>
            <w:tcW w:type="dxa" w:w="4320"/>
            <w:shd w:val="clear" w:fill="F2C744"/>
          </w:tcPr>
          <w:p>
            <w:r>
              <w:rPr>
                <w:b/>
                <w:color w:val="0A2733"/>
                <w:sz w:val="17"/>
              </w:rPr>
              <w:t>Applies?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35(3)(a) Systematic, extensive automated evaluation/profiling with legal or similarly significant effects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35(3)(b) Large-scale processing of special-category (Art 9) or criminal-conviction (Art 10) data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35(3)(c) Large-scale systematic monitoring of a publicly accessible area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</w:tbl>
    <w:p/>
    <w:p>
      <w:pPr>
        <w:pStyle w:val="Heading3"/>
      </w:pPr>
      <w:r>
        <w:t>2b. WP248 rev.01 nine high-risk criteria (two met → DPIA)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2C744"/>
          </w:tcPr>
          <w:p>
            <w:r>
              <w:rPr>
                <w:b/>
                <w:color w:val="0A2733"/>
                <w:sz w:val="17"/>
              </w:rPr>
              <w:t>Criterion</w:t>
            </w:r>
          </w:p>
        </w:tc>
        <w:tc>
          <w:tcPr>
            <w:tcW w:type="dxa" w:w="4320"/>
            <w:shd w:val="clear" w:fill="F2C744"/>
          </w:tcPr>
          <w:p>
            <w:r>
              <w:rPr>
                <w:b/>
                <w:color w:val="0A2733"/>
                <w:sz w:val="17"/>
              </w:rPr>
              <w:t>Met?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1. Evaluation or scoring (incl. profiling, predicting)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2. Automated decision-making with legal or similarly significant effect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3. Systematic monitoring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4. Sensitive data or data of a highly personal nature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5. Data processed on a large scale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6. Matching or combining datasets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7. Data concerning vulnerable data subjects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8. Innovative use / new technological or organisational solutions (incl. AI)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  <w:tr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9. Processing preventing exercise of a right or use of a service/contract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</w:t>
            </w:r>
          </w:p>
        </w:tc>
      </w:tr>
    </w:tbl>
    <w:p/>
    <w:p>
      <w:r>
        <w:rPr>
          <w:i/>
          <w:color w:val="5A6A72"/>
          <w:sz w:val="18"/>
        </w:rPr>
        <w:t>Also check your supervisory authority's Art 35(4) list — e.g. CNIL's 14-category list (FR), the ICO's UK high-risk list, Datatilsynet's Norwegian list.</w:t>
      </w:r>
    </w:p>
    <w:p>
      <w:pPr>
        <w:pStyle w:val="Heading1"/>
      </w:pPr>
      <w:r>
        <w:t>3. Screening outcome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DPIA required?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 — with the trigger(s): Art 35(3) case, number of WP248 criteria met, or an Art 35(4) list entry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If no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Record the reasoning and keep this document — the documented 'no' is accountability evidence. Re-screen if the processing changes.</w:t>
            </w:r>
          </w:p>
        </w:tc>
      </w:tr>
    </w:tbl>
    <w:p/>
    <w:p>
      <w:pPr>
        <w:pStyle w:val="Heading1"/>
      </w:pPr>
      <w:r>
        <w:t>4. Systematic description of the processing (Art 35(7)(a))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Nature, scope, context, purposes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What the processing does, for whom, at what scale, and why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Categories of personal data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Flag special categories (Art 9) explicitly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Categories of data subjects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Flag vulnerable groups (children, employees, patients)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Recipients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Internal teams, processors, third parties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International transfers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Third countries + transfer mechanism (SCCs, adequacy)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Retention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Period and deletion trigger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Systems and data flows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Where the data lives and moves; attach a flow diagram if available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Legitimate interest pursued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Only if Art 6(1)(f) is relied on</w:t>
            </w:r>
          </w:p>
        </w:tc>
      </w:tr>
    </w:tbl>
    <w:p/>
    <w:p>
      <w:pPr>
        <w:pStyle w:val="Heading1"/>
      </w:pPr>
      <w:r>
        <w:t>5. Consultation record (Art 35(2), 35(9))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DPO advice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Mandatory where a DPO is designated — record the advice and date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Data subjects' views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Where appropriate, seek the views of data subjects or their representatives; if not sought, record why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Processors / vendors consulted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E.g. the AI provider's documentation reviewed</w:t>
            </w:r>
          </w:p>
        </w:tc>
      </w:tr>
    </w:tbl>
    <w:p/>
    <w:p>
      <w:pPr>
        <w:pStyle w:val="Heading1"/>
      </w:pPr>
      <w:r>
        <w:t>6. Necessity (Art 35(7)(b))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Lawful basis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Art 6 basis; Art 9 condition if special categories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Why this processing achieves the purpose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The functional case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Data minimisation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What was excluded, aggregated, or pseudonymised</w:t>
            </w:r>
          </w:p>
        </w:tc>
      </w:tr>
    </w:tbl>
    <w:p/>
    <w:p>
      <w:pPr>
        <w:pStyle w:val="Heading1"/>
      </w:pPr>
      <w:r>
        <w:t>7. Proportionality (Art 35(7)(b))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Less intrusive alternatives considered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Why they do not suffice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Transparency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How data subjects are informed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Rights support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How access, erasure, objection, portability are honoured</w:t>
            </w:r>
          </w:p>
        </w:tc>
      </w:tr>
    </w:tbl>
    <w:p/>
    <w:p>
      <w:pPr>
        <w:pStyle w:val="Heading1"/>
      </w:pPr>
      <w:r>
        <w:t>8. Risk identification (Art 35(7)(c))</w:t>
      </w:r>
    </w:p>
    <w:p>
      <w:r>
        <w:rPr>
          <w:i/>
          <w:color w:val="5A6A72"/>
          <w:sz w:val="18"/>
        </w:rPr>
        <w:t>Risks to the rights and freedoms of data subjects — not business risks. Consider: unauthorised access, re-identification, discrimination, function creep, loss of confidentiality, inability to exercise rights.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ID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Risk description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Likelihood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Severity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R1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Describe the harm to data subjects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Low / Medium / High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Low / Medium / High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R2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R3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</w:tr>
    </w:tbl>
    <w:p/>
    <w:p>
      <w:pPr>
        <w:pStyle w:val="Heading1"/>
      </w:pPr>
      <w:r>
        <w:t>9. Risk matrix (3×3)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Severity: Low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Severity: Medium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Severity: High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Likelihood: High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Medium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High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Likelihood: Medium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Medium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High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Likelihood: Low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i/>
                <w:color w:val="5A6A72"/>
                <w:sz w:val="17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Medium</w:t>
            </w:r>
          </w:p>
        </w:tc>
      </w:tr>
    </w:tbl>
    <w:p/>
    <w:p>
      <w:pPr>
        <w:pStyle w:val="Heading1"/>
      </w:pPr>
      <w:r>
        <w:t>10. Worked example row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ID</w:t>
            </w:r>
          </w:p>
        </w:tc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Risk</w:t>
            </w:r>
          </w:p>
        </w:tc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Likelihood</w:t>
            </w:r>
          </w:p>
        </w:tc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Severity</w:t>
            </w:r>
          </w:p>
        </w:tc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Measure</w:t>
            </w:r>
          </w:p>
        </w:tc>
        <w:tc>
          <w:tcPr>
            <w:tcW w:type="dxa" w:w="1440"/>
            <w:shd w:val="clear" w:fill="F2C744"/>
          </w:tcPr>
          <w:p>
            <w:r>
              <w:rPr>
                <w:b/>
                <w:color w:val="0A2733"/>
                <w:sz w:val="17"/>
              </w:rPr>
              <w:t>Residual</w:t>
            </w:r>
          </w:p>
        </w:tc>
      </w:tr>
      <w:tr>
        <w:tc>
          <w:tcPr>
            <w:tcW w:type="dxa" w:w="1440"/>
          </w:tcPr>
          <w:p>
            <w:r>
              <w:rPr>
                <w:i w:val="0"/>
                <w:color w:val="5A6A72"/>
                <w:sz w:val="17"/>
              </w:rPr>
              <w:t>EX1</w:t>
            </w:r>
          </w:p>
        </w:tc>
        <w:tc>
          <w:tcPr>
            <w:tcW w:type="dxa" w:w="1440"/>
          </w:tcPr>
          <w:p>
            <w:r>
              <w:rPr>
                <w:i w:val="0"/>
                <w:color w:val="5A6A72"/>
                <w:sz w:val="17"/>
              </w:rPr>
              <w:t>Unauthorised access to customer-support AI logs containing personal data</w:t>
            </w:r>
          </w:p>
        </w:tc>
        <w:tc>
          <w:tcPr>
            <w:tcW w:type="dxa" w:w="1440"/>
          </w:tcPr>
          <w:p>
            <w:r>
              <w:rPr>
                <w:i w:val="0"/>
                <w:color w:val="5A6A72"/>
                <w:sz w:val="17"/>
              </w:rPr>
              <w:t>Medium</w:t>
            </w:r>
          </w:p>
        </w:tc>
        <w:tc>
          <w:tcPr>
            <w:tcW w:type="dxa" w:w="1440"/>
          </w:tcPr>
          <w:p>
            <w:r>
              <w:rPr>
                <w:i w:val="0"/>
                <w:color w:val="5A6A72"/>
                <w:sz w:val="17"/>
              </w:rPr>
              <w:t>High</w:t>
            </w:r>
          </w:p>
        </w:tc>
        <w:tc>
          <w:tcPr>
            <w:tcW w:type="dxa" w:w="1440"/>
          </w:tcPr>
          <w:p>
            <w:r>
              <w:rPr>
                <w:i w:val="0"/>
                <w:color w:val="5A6A72"/>
                <w:sz w:val="17"/>
              </w:rPr>
              <w:t>Access restricted to on-call support role; logs pseudonymised after 24h; retention cut to 30 days; access audited</w:t>
            </w:r>
          </w:p>
        </w:tc>
        <w:tc>
          <w:tcPr>
            <w:tcW w:type="dxa" w:w="1440"/>
          </w:tcPr>
          <w:p>
            <w:r>
              <w:rPr>
                <w:i/>
                <w:color w:val="5A6A72"/>
                <w:sz w:val="17"/>
              </w:rPr>
              <w:t>Low</w:t>
            </w:r>
          </w:p>
        </w:tc>
      </w:tr>
    </w:tbl>
    <w:p/>
    <w:p>
      <w:pPr>
        <w:pStyle w:val="Heading1"/>
      </w:pPr>
      <w:r>
        <w:t>11. Mitigation measures (Art 35(7)(d))</w:t>
      </w:r>
    </w:p>
    <w:p>
      <w:r>
        <w:rPr>
          <w:i/>
          <w:color w:val="5A6A72"/>
          <w:sz w:val="18"/>
        </w:rPr>
        <w:t>One specific measure per risk. Generic statements do not reduce scores; specific TOMs (Art 32), access controls, pseudonymisation, and retention cuts do.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Risk ID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Measure (specific)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Residual likelihood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Residual severity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R1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R2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</w:tr>
    </w:tbl>
    <w:p/>
    <w:p>
      <w:pPr>
        <w:pStyle w:val="Heading1"/>
      </w:pPr>
      <w:r>
        <w:t>12. Residual risk &amp; Article 36 prior-consultation decision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Overall residual risk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Low / Medium / High — after all measures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Prior consultation required?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If residual risk remains HIGH: consult the supervisory authority BEFORE processing (Art 36). Written advice due within 8 weeks, extendable by 6 for complex processing.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Authority consulted / response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Date, reference, outcome — or n/a</w:t>
            </w:r>
          </w:p>
        </w:tc>
      </w:tr>
    </w:tbl>
    <w:p/>
    <w:p>
      <w:pPr>
        <w:pStyle w:val="Heading1"/>
      </w:pPr>
      <w:r>
        <w:t>13.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Controller approval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Name, role, date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DPO opinion recorded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Yes / No — date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Conditions attached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E.g. re-assess after 12 months or before scale-up</w:t>
            </w:r>
          </w:p>
        </w:tc>
      </w:tr>
    </w:tbl>
    <w:p/>
    <w:p>
      <w:pPr>
        <w:pStyle w:val="Heading1"/>
      </w:pPr>
      <w:r>
        <w:t>14. Review log (Art 35(11))</w:t>
      </w:r>
    </w:p>
    <w:p>
      <w:r>
        <w:rPr>
          <w:i/>
          <w:color w:val="5A6A72"/>
          <w:sz w:val="18"/>
        </w:rPr>
        <w:t>Review at least when the risk changes — a new data category, a new AI model, a new recipient, a new purpose.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Date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Trigger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Change</w:t>
            </w:r>
          </w:p>
        </w:tc>
        <w:tc>
          <w:tcPr>
            <w:tcW w:type="dxa" w:w="2160"/>
            <w:shd w:val="clear" w:fill="F2C744"/>
          </w:tcPr>
          <w:p>
            <w:r>
              <w:rPr>
                <w:b/>
                <w:color w:val="0A2733"/>
                <w:sz w:val="17"/>
              </w:rPr>
              <w:t>Outcome</w:t>
            </w:r>
          </w:p>
        </w:tc>
      </w:tr>
      <w:tr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  <w:tc>
          <w:tcPr>
            <w:tcW w:type="dxa" w:w="2160"/>
          </w:tcPr>
          <w:p>
            <w:r>
              <w:rPr>
                <w:i w:val="0"/>
                <w:color w:val="5A6A72"/>
                <w:sz w:val="17"/>
              </w:rPr>
              <w:t>…</w:t>
            </w:r>
          </w:p>
        </w:tc>
      </w:tr>
    </w:tbl>
    <w:p/>
    <w:p>
      <w:r>
        <w:br w:type="page"/>
      </w:r>
    </w:p>
    <w:p>
      <w:pPr>
        <w:pStyle w:val="Heading1"/>
      </w:pPr>
      <w:r>
        <w:t>AI Annex — AI/LLM features and the EU AI Act</w:t>
      </w:r>
    </w:p>
    <w:p>
      <w:r>
        <w:rPr>
          <w:i/>
          <w:color w:val="5A6A72"/>
          <w:sz w:val="18"/>
        </w:rPr>
        <w:t>Complete for any AI-driven processing (WP248 criterion 8, typically plus 1, 2 and 5). For high-risk AI systems where you are a deployer in scope of EU AI Act Art 27, the fundamental rights impact assessment (FRIA) may be documented jointly with this DPIA — neither assessment replaces the other.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Model / system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Provider, model, version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Training-data provenance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Personal data in training/fine-tuning data? Provider documentation reviewed?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Automated decisions &amp; effects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Does the output produce legal or similarly significant effects (Art 22 GDPR)? Human in the loop?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Explainability &amp; oversight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Can outcomes be explained to data subjects? Which oversight measures apply?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Bias / accuracy risks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Testing performed; known failure modes; monitoring plan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EU AI Act classification</w:t>
            </w:r>
          </w:p>
        </w:tc>
        <w:tc>
          <w:tcPr>
            <w:tcW w:type="dxa" w:w="4320"/>
          </w:tcPr>
          <w:p>
            <w:r>
              <w:rPr>
                <w:i w:val="0"/>
                <w:color w:val="5A6A72"/>
                <w:sz w:val="17"/>
              </w:rPr>
              <w:t>Prohibited / High-risk / Limited (transparency) / Minimal</w:t>
            </w:r>
          </w:p>
        </w:tc>
      </w:tr>
      <w:tr>
        <w:tc>
          <w:tcPr>
            <w:tcW w:type="dxa" w:w="4320"/>
            <w:shd w:val="clear" w:fill="F5F1E8"/>
          </w:tcPr>
          <w:p>
            <w:r>
              <w:rPr>
                <w:b/>
                <w:color w:val="0A2733"/>
                <w:sz w:val="17"/>
              </w:rPr>
              <w:t>FRIA reference (Art 27)</w:t>
            </w:r>
          </w:p>
        </w:tc>
        <w:tc>
          <w:tcPr>
            <w:tcW w:type="dxa" w:w="4320"/>
          </w:tcPr>
          <w:p>
            <w:r>
              <w:rPr>
                <w:i/>
                <w:color w:val="5A6A72"/>
                <w:sz w:val="17"/>
              </w:rPr>
              <w:t>If high-risk and in scope: joint documentation reference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A72"/>
        <w:sz w:val="15"/>
      </w:rPr>
      <w:t>Orbiq · DPIA Template v1.0 · 2026-07-15 · orbiqhq.com/templates/dpia-template · CC BY 4.0 · Not legal advice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Helvetica Neue" w:hAnsi="Helvetica Neue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elvetica Neue" w:hAnsi="Helvetica Neue"/>
      <w:b/>
      <w:bCs/>
      <w:color w:val="0A27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elvetica Neue" w:hAnsi="Helvetica Neue"/>
      <w:b/>
      <w:bCs/>
      <w:color w:val="0A273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elvetica Neue" w:hAnsi="Helvetica Neue"/>
      <w:b/>
      <w:bCs/>
      <w:color w:val="0A2733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