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A2733"/>
        </w:rPr>
        <w:t>Modèle d'avis de sécurité CRA</w:t>
      </w:r>
    </w:p>
    <w:p>
      <w:r>
        <w:rPr>
          <w:color w:val="667075"/>
          <w:sz w:val="18"/>
        </w:rPr>
        <w:t>Version 1.0 · Mise à jour 2026-07-03 · Modèle gratuit d'Orbiq · orbiqhq.com/templates/cra-vulnerability-advisory-template</w:t>
      </w:r>
    </w:p>
    <w:tbl>
      <w:tblPr>
        <w:tblW w:type="auto" w:w="0"/>
        <w:tblLook w:firstColumn="1" w:firstRow="1" w:lastColumn="0" w:lastRow="0" w:noHBand="0" w:noVBand="1" w:val="04A0"/>
      </w:tblPr>
      <w:tblGrid>
        <w:gridCol w:w="8640"/>
      </w:tblGrid>
      <w:tr>
        <w:trPr>
          <w:trHeight w:val="85"/>
        </w:trPr>
        <w:tc>
          <w:tcPr>
            <w:tcW w:type="dxa" w:w="8640"/>
            <w:shd w:val="clear" w:fill="7B7D63"/>
          </w:tcPr>
          <w:p>
            <w:r/>
          </w:p>
        </w:tc>
      </w:tr>
    </w:tbl>
    <w:p/>
    <w:p>
      <w:r>
        <w:t>Modèle d'avis de sécurité public pour les fabricants de produits comportant des éléments numériques, au titre du règlement (UE) 2024/2847 (règlement sur la cyberrésilience, CRA), annexe I partie II. À publier dès que la mise à jour de sécurité est disponible. Horloge réglementaire distincte : les vulnérabilités activement exploitées doivent en outre être signalées via la plateforme de signalement unique de l'ENISA au titre de l'article 14 (alerte précoce sous 24 h / notification sous 72 h / rapport final sous 14 jours), applicable à partir du 11 septembre 2026.</w:t>
      </w:r>
    </w:p>
    <w:p>
      <w:pPr>
        <w:pStyle w:val="Heading2"/>
      </w:pPr>
      <w:r>
        <w:rPr>
          <w:color w:val="0A2733"/>
        </w:rPr>
        <w:t>Bloc d'en-tête de l'avis</w:t>
      </w:r>
    </w:p>
    <w:p>
      <w:r>
        <w:t>Complétez chaque champ avant publication. Format de l'ID de l'avis : {{org_prefix}}-SA-{{year}}-{{sequence}}.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Champ</w:t>
            </w:r>
          </w:p>
        </w:tc>
        <w:tc>
          <w:tcPr>
            <w:tcW w:type="dxa" w:w="2880"/>
            <w:shd w:val="clear" w:fill="0A2733"/>
          </w:tcPr>
          <w:p>
            <w:r>
              <w:rPr>
                <w:b/>
                <w:color w:val="FFFFFF"/>
                <w:sz w:val="20"/>
              </w:rPr>
              <w:t>Valeur</w:t>
            </w:r>
          </w:p>
        </w:tc>
        <w:tc>
          <w:tcPr>
            <w:tcW w:type="dxa" w:w="2880"/>
            <w:shd w:val="clear" w:fill="0A2733"/>
          </w:tcPr>
          <w:p>
            <w:r>
              <w:rPr>
                <w:b/>
                <w:color w:val="FFFFFF"/>
                <w:sz w:val="20"/>
              </w:rPr>
              <w:t>Consignes</w:t>
            </w:r>
          </w:p>
        </w:tc>
      </w:tr>
      <w:tr>
        <w:tc>
          <w:tcPr>
            <w:tcW w:type="dxa" w:w="2880"/>
          </w:tcPr>
          <w:p>
            <w:r>
              <w:rPr>
                <w:sz w:val="20"/>
              </w:rPr>
              <w:t>Titre de l'avis</w:t>
            </w:r>
          </w:p>
        </w:tc>
        <w:tc>
          <w:tcPr>
            <w:tcW w:type="dxa" w:w="2880"/>
          </w:tcPr>
          <w:p>
            <w:r>
              <w:rPr>
                <w:i/>
                <w:sz w:val="20"/>
              </w:rPr>
              <w:t>{{advisory_title}}</w:t>
            </w:r>
          </w:p>
        </w:tc>
        <w:tc>
          <w:tcPr>
            <w:tcW w:type="dxa" w:w="2880"/>
          </w:tcPr>
          <w:p>
            <w:r>
              <w:rPr>
                <w:sz w:val="20"/>
              </w:rPr>
              <w:t>Une ligne : &lt;Produit&gt; : &lt;classe de faille&gt; dans &lt;composant&gt; (&lt;ID CVE&gt;)</w:t>
            </w:r>
          </w:p>
        </w:tc>
      </w:tr>
      <w:tr>
        <w:tc>
          <w:tcPr>
            <w:tcW w:type="dxa" w:w="2880"/>
          </w:tcPr>
          <w:p>
            <w:r>
              <w:rPr>
                <w:sz w:val="20"/>
              </w:rPr>
              <w:t>ID de l'avis</w:t>
            </w:r>
          </w:p>
        </w:tc>
        <w:tc>
          <w:tcPr>
            <w:tcW w:type="dxa" w:w="2880"/>
          </w:tcPr>
          <w:p>
            <w:r>
              <w:rPr>
                <w:i/>
                <w:sz w:val="20"/>
              </w:rPr>
              <w:t>{{advisory_id}}</w:t>
            </w:r>
          </w:p>
        </w:tc>
        <w:tc>
          <w:tcPr>
            <w:tcW w:type="dxa" w:w="2880"/>
          </w:tcPr>
          <w:p>
            <w:r>
              <w:rPr>
                <w:sz w:val="20"/>
              </w:rPr>
              <w:t>Stable, séquentiel, jamais réutilisé</w:t>
            </w:r>
          </w:p>
        </w:tc>
      </w:tr>
      <w:tr>
        <w:tc>
          <w:tcPr>
            <w:tcW w:type="dxa" w:w="2880"/>
          </w:tcPr>
          <w:p>
            <w:r>
              <w:rPr>
                <w:sz w:val="20"/>
              </w:rPr>
              <w:t>ID CVE</w:t>
            </w:r>
          </w:p>
        </w:tc>
        <w:tc>
          <w:tcPr>
            <w:tcW w:type="dxa" w:w="2880"/>
          </w:tcPr>
          <w:p>
            <w:r>
              <w:rPr>
                <w:i/>
                <w:sz w:val="20"/>
              </w:rPr>
              <w:t>{{cve_id}}</w:t>
            </w:r>
          </w:p>
        </w:tc>
        <w:tc>
          <w:tcPr>
            <w:tcW w:type="dxa" w:w="2880"/>
          </w:tcPr>
          <w:p>
            <w:r>
              <w:rPr>
                <w:sz w:val="20"/>
              </w:rPr>
              <w:t>CVE-YYYY-NNNNN, ou « pending »</w:t>
            </w:r>
          </w:p>
        </w:tc>
      </w:tr>
      <w:tr>
        <w:tc>
          <w:tcPr>
            <w:tcW w:type="dxa" w:w="2880"/>
          </w:tcPr>
          <w:p>
            <w:r>
              <w:rPr>
                <w:sz w:val="20"/>
              </w:rPr>
              <w:t>ID EUVD</w:t>
            </w:r>
          </w:p>
        </w:tc>
        <w:tc>
          <w:tcPr>
            <w:tcW w:type="dxa" w:w="2880"/>
          </w:tcPr>
          <w:p>
            <w:r>
              <w:rPr>
                <w:i/>
                <w:sz w:val="20"/>
              </w:rPr>
              <w:t>{{euvd_id}}</w:t>
            </w:r>
          </w:p>
        </w:tc>
        <w:tc>
          <w:tcPr>
            <w:tcW w:type="dxa" w:w="2880"/>
          </w:tcPr>
          <w:p>
            <w:r>
              <w:rPr>
                <w:sz w:val="20"/>
              </w:rPr>
              <w:t>EUVD-YYYY-NNNNN (base de données européenne des vulnérabilités de l'ENISA)</w:t>
            </w:r>
          </w:p>
        </w:tc>
      </w:tr>
      <w:tr>
        <w:tc>
          <w:tcPr>
            <w:tcW w:type="dxa" w:w="2880"/>
          </w:tcPr>
          <w:p>
            <w:r>
              <w:rPr>
                <w:sz w:val="20"/>
              </w:rPr>
              <w:t>Sévérité</w:t>
            </w:r>
          </w:p>
        </w:tc>
        <w:tc>
          <w:tcPr>
            <w:tcW w:type="dxa" w:w="2880"/>
          </w:tcPr>
          <w:p>
            <w:r>
              <w:rPr>
                <w:i/>
                <w:sz w:val="20"/>
              </w:rPr>
              <w:t>{{severity}} ({{cvss_base_score}})</w:t>
            </w:r>
          </w:p>
        </w:tc>
        <w:tc>
          <w:tcPr>
            <w:tcW w:type="dxa" w:w="2880"/>
          </w:tcPr>
          <w:p>
            <w:r>
              <w:rPr>
                <w:sz w:val="20"/>
              </w:rPr>
              <w:t>aucune 0.0 / faible 0.1-3.9 / moyenne 4.0-6.9 / élevée 7.0-8.9 / critique 9.0-10.0 (CVSS v4.0)</w:t>
            </w:r>
          </w:p>
        </w:tc>
      </w:tr>
      <w:tr>
        <w:tc>
          <w:tcPr>
            <w:tcW w:type="dxa" w:w="2880"/>
          </w:tcPr>
          <w:p>
            <w:r>
              <w:rPr>
                <w:sz w:val="20"/>
              </w:rPr>
              <w:t>Vecteur CVSS v4.0</w:t>
            </w:r>
          </w:p>
        </w:tc>
        <w:tc>
          <w:tcPr>
            <w:tcW w:type="dxa" w:w="2880"/>
          </w:tcPr>
          <w:p>
            <w:r>
              <w:rPr>
                <w:i/>
                <w:sz w:val="20"/>
              </w:rPr>
              <w:t>{{cvss_vector}}</w:t>
            </w:r>
          </w:p>
        </w:tc>
        <w:tc>
          <w:tcPr>
            <w:tcW w:type="dxa" w:w="2880"/>
          </w:tcPr>
          <w:p>
            <w:r>
              <w:rPr>
                <w:sz w:val="20"/>
              </w:rPr>
              <w:t>Chaîne de vecteur complète, pas seulement le score</w:t>
            </w:r>
          </w:p>
        </w:tc>
      </w:tr>
      <w:tr>
        <w:tc>
          <w:tcPr>
            <w:tcW w:type="dxa" w:w="2880"/>
          </w:tcPr>
          <w:p>
            <w:r>
              <w:rPr>
                <w:sz w:val="20"/>
              </w:rPr>
              <w:t>Statut d'exploitation</w:t>
            </w:r>
          </w:p>
        </w:tc>
        <w:tc>
          <w:tcPr>
            <w:tcW w:type="dxa" w:w="2880"/>
          </w:tcPr>
          <w:p>
            <w:r>
              <w:rPr>
                <w:i/>
                <w:sz w:val="20"/>
              </w:rPr>
              <w:t>{{exploitation_status}}</w:t>
            </w:r>
          </w:p>
        </w:tc>
        <w:tc>
          <w:tcPr>
            <w:tcW w:type="dxa" w:w="2880"/>
          </w:tcPr>
          <w:p>
            <w:r>
              <w:rPr>
                <w:sz w:val="20"/>
              </w:rPr>
              <w:t>none-known | poc-published | exploited-in-the-wild (ce dernier déclenche le signalement au titre de l'art. 14 du CRA)</w:t>
            </w:r>
          </w:p>
        </w:tc>
      </w:tr>
      <w:tr>
        <w:tc>
          <w:tcPr>
            <w:tcW w:type="dxa" w:w="2880"/>
          </w:tcPr>
          <w:p>
            <w:r>
              <w:rPr>
                <w:sz w:val="20"/>
              </w:rPr>
              <w:t>État de l'avis</w:t>
            </w:r>
          </w:p>
        </w:tc>
        <w:tc>
          <w:tcPr>
            <w:tcW w:type="dxa" w:w="2880"/>
          </w:tcPr>
          <w:p>
            <w:r>
              <w:rPr>
                <w:i/>
                <w:sz w:val="20"/>
              </w:rPr>
              <w:t>{{advisory_state}}</w:t>
            </w:r>
          </w:p>
        </w:tc>
        <w:tc>
          <w:tcPr>
            <w:tcW w:type="dxa" w:w="2880"/>
          </w:tcPr>
          <w:p>
            <w:r>
              <w:rPr>
                <w:sz w:val="20"/>
              </w:rPr>
              <w:t>draft | embargoed | published | updated | superseded | closed</w:t>
            </w:r>
          </w:p>
        </w:tc>
      </w:tr>
      <w:tr>
        <w:tc>
          <w:tcPr>
            <w:tcW w:type="dxa" w:w="2880"/>
          </w:tcPr>
          <w:p>
            <w:r>
              <w:rPr>
                <w:sz w:val="20"/>
              </w:rPr>
              <w:t>Première publication (UTC)</w:t>
            </w:r>
          </w:p>
        </w:tc>
        <w:tc>
          <w:tcPr>
            <w:tcW w:type="dxa" w:w="2880"/>
          </w:tcPr>
          <w:p>
            <w:r>
              <w:rPr>
                <w:i/>
                <w:sz w:val="20"/>
              </w:rPr>
              <w:t>{{published_date}}</w:t>
            </w:r>
          </w:p>
        </w:tc>
        <w:tc>
          <w:tcPr>
            <w:tcW w:type="dxa" w:w="2880"/>
          </w:tcPr>
          <w:p>
            <w:r>
              <w:rPr>
                <w:sz w:val="20"/>
              </w:rPr>
              <w:t>Date ISO</w:t>
            </w:r>
          </w:p>
        </w:tc>
      </w:tr>
      <w:tr>
        <w:tc>
          <w:tcPr>
            <w:tcW w:type="dxa" w:w="2880"/>
          </w:tcPr>
          <w:p>
            <w:r>
              <w:rPr>
                <w:sz w:val="20"/>
              </w:rPr>
              <w:t>Dernière mise à jour (UTC)</w:t>
            </w:r>
          </w:p>
        </w:tc>
        <w:tc>
          <w:tcPr>
            <w:tcW w:type="dxa" w:w="2880"/>
          </w:tcPr>
          <w:p>
            <w:r>
              <w:rPr>
                <w:i/>
                <w:sz w:val="20"/>
              </w:rPr>
              <w:t>{{updated_date}}</w:t>
            </w:r>
          </w:p>
        </w:tc>
        <w:tc>
          <w:tcPr>
            <w:tcW w:type="dxa" w:w="2880"/>
          </w:tcPr>
          <w:p>
            <w:r>
              <w:rPr>
                <w:sz w:val="20"/>
              </w:rPr>
              <w:t>Date ISO</w:t>
            </w:r>
          </w:p>
        </w:tc>
      </w:tr>
      <w:tr>
        <w:tc>
          <w:tcPr>
            <w:tcW w:type="dxa" w:w="2880"/>
          </w:tcPr>
          <w:p>
            <w:r>
              <w:rPr>
                <w:sz w:val="20"/>
              </w:rPr>
              <w:t>Résumé</w:t>
            </w:r>
          </w:p>
        </w:tc>
        <w:tc>
          <w:tcPr>
            <w:tcW w:type="dxa" w:w="2880"/>
          </w:tcPr>
          <w:p>
            <w:r>
              <w:rPr>
                <w:i/>
                <w:sz w:val="20"/>
              </w:rPr>
              <w:t>{{summary}}</w:t>
            </w:r>
          </w:p>
        </w:tc>
        <w:tc>
          <w:tcPr>
            <w:tcW w:type="dxa" w:w="2880"/>
          </w:tcPr>
          <w:p>
            <w:r>
              <w:rPr>
                <w:sz w:val="20"/>
              </w:rPr>
              <w:t>2 à 4 phrases : la faille, l'impact pour l'attaquant et l'action la plus importante</w:t>
            </w:r>
          </w:p>
        </w:tc>
      </w:tr>
    </w:tbl>
    <w:p/>
    <w:p>
      <w:pPr>
        <w:pStyle w:val="Heading2"/>
      </w:pPr>
      <w:r>
        <w:rPr>
          <w:color w:val="0A2733"/>
        </w:rPr>
        <w:t>Tableau des détails de la vulnérabilité</w:t>
      </w:r>
    </w:p>
    <w:p>
      <w:r>
        <w:t>Impact et éléments de preuve d'exploitation. L'annexe I partie II point 4 exige une description de la vulnérabilité ainsi que les informations permettant aux utilisateurs d'identifier le produit concerné.</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Champ</w:t>
            </w:r>
          </w:p>
        </w:tc>
        <w:tc>
          <w:tcPr>
            <w:tcW w:type="dxa" w:w="4320"/>
            <w:shd w:val="clear" w:fill="0A2733"/>
          </w:tcPr>
          <w:p>
            <w:r>
              <w:rPr>
                <w:b/>
                <w:color w:val="FFFFFF"/>
                <w:sz w:val="20"/>
              </w:rPr>
              <w:t>Contenu</w:t>
            </w:r>
          </w:p>
        </w:tc>
      </w:tr>
      <w:tr>
        <w:tc>
          <w:tcPr>
            <w:tcW w:type="dxa" w:w="4320"/>
          </w:tcPr>
          <w:p>
            <w:r>
              <w:rPr>
                <w:sz w:val="20"/>
              </w:rPr>
              <w:t>Impact</w:t>
            </w:r>
          </w:p>
        </w:tc>
        <w:tc>
          <w:tcPr>
            <w:tcW w:type="dxa" w:w="4320"/>
          </w:tcPr>
          <w:p>
            <w:r>
              <w:rPr>
                <w:i/>
                <w:sz w:val="20"/>
              </w:rPr>
              <w:t>{{impact_description}} — ce qu'un attaquant obtient en cas de succès, les conditions préalables (accès réseau, authentification, interaction utilisateur) et les facteurs limitants dans les déploiements courants</w:t>
            </w:r>
          </w:p>
        </w:tc>
      </w:tr>
      <w:tr>
        <w:tc>
          <w:tcPr>
            <w:tcW w:type="dxa" w:w="4320"/>
          </w:tcPr>
          <w:p>
            <w:r>
              <w:rPr>
                <w:sz w:val="20"/>
              </w:rPr>
              <w:t>Détails d'exploitation</w:t>
            </w:r>
          </w:p>
        </w:tc>
        <w:tc>
          <w:tcPr>
            <w:tcW w:type="dxa" w:w="4320"/>
          </w:tcPr>
          <w:p>
            <w:r>
              <w:rPr>
                <w:i/>
                <w:sz w:val="20"/>
              </w:rPr>
              <w:t>{{exploitation_details}} — les éléments justifiant le champ statut ; en cas d'exploitation active, mentionnez le signalement au titre de l'article 14 via la plateforme de signalement unique</w:t>
            </w:r>
          </w:p>
        </w:tc>
      </w:tr>
      <w:tr>
        <w:tc>
          <w:tcPr>
            <w:tcW w:type="dxa" w:w="4320"/>
          </w:tcPr>
          <w:p>
            <w:r>
              <w:rPr>
                <w:sz w:val="20"/>
              </w:rPr>
              <w:t>Remerciements</w:t>
            </w:r>
          </w:p>
        </w:tc>
        <w:tc>
          <w:tcPr>
            <w:tcW w:type="dxa" w:w="4320"/>
          </w:tcPr>
          <w:p>
            <w:r>
              <w:rPr>
                <w:i/>
                <w:sz w:val="20"/>
              </w:rPr>
              <w:t>{{reporter_credit}} — nom/pseudonyme du découvreur, avec son consentement</w:t>
            </w:r>
          </w:p>
        </w:tc>
      </w:tr>
    </w:tbl>
    <w:p/>
    <w:p>
      <w:pPr>
        <w:pStyle w:val="Heading2"/>
      </w:pPr>
      <w:r>
        <w:rPr>
          <w:color w:val="0A2733"/>
        </w:rPr>
        <w:t>Tableau des versions concernées et corrigées</w:t>
      </w:r>
    </w:p>
    <w:p>
      <w:r>
        <w:t>Une ligne par gamme de produits. Couvrez TOUTES les gammes prises en charge ; indiquez explicitement quels produits ou versions ne sont PAS concernés : {{not_affected_note}}.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Produit</w:t>
            </w:r>
          </w:p>
        </w:tc>
        <w:tc>
          <w:tcPr>
            <w:tcW w:type="dxa" w:w="2160"/>
            <w:shd w:val="clear" w:fill="0A2733"/>
          </w:tcPr>
          <w:p>
            <w:r>
              <w:rPr>
                <w:b/>
                <w:color w:val="FFFFFF"/>
                <w:sz w:val="20"/>
              </w:rPr>
              <w:t>Versions concernées</w:t>
            </w:r>
          </w:p>
        </w:tc>
        <w:tc>
          <w:tcPr>
            <w:tcW w:type="dxa" w:w="2160"/>
            <w:shd w:val="clear" w:fill="0A2733"/>
          </w:tcPr>
          <w:p>
            <w:r>
              <w:rPr>
                <w:b/>
                <w:color w:val="FFFFFF"/>
                <w:sz w:val="20"/>
              </w:rPr>
              <w:t>Version corrigée</w:t>
            </w:r>
          </w:p>
        </w:tc>
        <w:tc>
          <w:tcPr>
            <w:tcW w:type="dxa" w:w="2160"/>
            <w:shd w:val="clear" w:fill="0A2733"/>
          </w:tcPr>
          <w:p>
            <w:r>
              <w:rPr>
                <w:b/>
                <w:color w:val="FFFFFF"/>
                <w:sz w:val="20"/>
              </w:rPr>
              <w:t>Déploiement</w:t>
            </w:r>
          </w:p>
        </w:tc>
      </w:tr>
      <w:tr>
        <w:tc>
          <w:tcPr>
            <w:tcW w:type="dxa" w:w="2160"/>
          </w:tcPr>
          <w:p>
            <w:r>
              <w:rPr>
                <w:i/>
                <w:sz w:val="20"/>
              </w:rPr>
              <w:t>{{product_name}}</w:t>
            </w:r>
          </w:p>
        </w:tc>
        <w:tc>
          <w:tcPr>
            <w:tcW w:type="dxa" w:w="2160"/>
          </w:tcPr>
          <w:p>
            <w:r>
              <w:rPr>
                <w:i/>
                <w:sz w:val="20"/>
              </w:rPr>
              <w:t>{{affected_version_range}}</w:t>
            </w:r>
          </w:p>
        </w:tc>
        <w:tc>
          <w:tcPr>
            <w:tcW w:type="dxa" w:w="2160"/>
          </w:tcPr>
          <w:p>
            <w:r>
              <w:rPr>
                <w:i/>
                <w:sz w:val="20"/>
              </w:rPr>
              <w:t>{{fixed_version}}</w:t>
            </w:r>
          </w:p>
        </w:tc>
        <w:tc>
          <w:tcPr>
            <w:tcW w:type="dxa" w:w="2160"/>
          </w:tcPr>
          <w:p>
            <w:r>
              <w:rPr>
                <w:i/>
                <w:sz w:val="20"/>
              </w:rPr>
              <w:t>{{deployment_model}} (cloud | self-hosted | embedded/firmware)</w:t>
            </w:r>
          </w:p>
        </w:tc>
      </w:tr>
      <w:tr>
        <w:tc>
          <w:tcPr>
            <w:tcW w:type="dxa" w:w="2160"/>
          </w:tcPr>
          <w:p>
            <w:r>
              <w:rPr>
                <w:i/>
                <w:sz w:val="20"/>
              </w:rPr>
              <w:t>{{product_name_2}}</w:t>
            </w:r>
          </w:p>
        </w:tc>
        <w:tc>
          <w:tcPr>
            <w:tcW w:type="dxa" w:w="2160"/>
          </w:tcPr>
          <w:p>
            <w:r>
              <w:rPr>
                <w:i/>
                <w:sz w:val="20"/>
              </w:rPr>
              <w:t>{{affected_version_range_2}}</w:t>
            </w:r>
          </w:p>
        </w:tc>
        <w:tc>
          <w:tcPr>
            <w:tcW w:type="dxa" w:w="2160"/>
          </w:tcPr>
          <w:p>
            <w:r>
              <w:rPr>
                <w:i/>
                <w:sz w:val="20"/>
              </w:rPr>
              <w:t>{{fixed_version_2}}</w:t>
            </w:r>
          </w:p>
        </w:tc>
        <w:tc>
          <w:tcPr>
            <w:tcW w:type="dxa" w:w="2160"/>
          </w:tcPr>
          <w:p>
            <w:r>
              <w:rPr>
                <w:i/>
                <w:sz w:val="20"/>
              </w:rPr>
              <w:t>{{deployment_model_2}}</w:t>
            </w:r>
          </w:p>
        </w:tc>
      </w:tr>
    </w:tbl>
    <w:p/>
    <w:p>
      <w:pPr>
        <w:pStyle w:val="Heading2"/>
      </w:pPr>
      <w:r>
        <w:rPr>
          <w:color w:val="0A2733"/>
        </w:rPr>
        <w:t>Mesures d'atténuation</w:t>
      </w:r>
    </w:p>
    <w:p>
      <w:r>
        <w:t>Action recommandée : {{remediation_action}} — en principe « Passez à la version {{fixed_version}} ou ultérieure ». Précisez que la mise à jour de sécurité est gratuite (obligatoire pendant la période de support, annexe I partie II point 8) et si elle s'applique automatiquement. Contournements pour les clients qui ne peuvent pas appliquer le correctif immédiatement : {{mitigations}} — modifications de configuration, restrictions réseau, désactivation de fonctionnalités. S'il n'en existe aucun, indiquez « Aucun contournement n'est disponible ; la mise à niveau est la seule mesure corrective. » N'omettez jamais cette section.</w:t>
      </w:r>
    </w:p>
    <w:p>
      <w:pPr>
        <w:pStyle w:val="Heading2"/>
      </w:pPr>
      <w:r>
        <w:rPr>
          <w:color w:val="0A2733"/>
        </w:rPr>
        <w:t>Chronologie et journal des mises à jour</w:t>
      </w:r>
    </w:p>
    <w:p>
      <w:r>
        <w:t>La chronologie de divulgation atteste d'un traitement des vulnérabilités « sans retard ». Ajoutez une ligne datée au journal des mises à jour pour chaque changement significatif (nouvelles versions concernées, exploitation observée, mesures d'atténuation révisées).</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Date (UTC)</w:t>
            </w:r>
          </w:p>
        </w:tc>
        <w:tc>
          <w:tcPr>
            <w:tcW w:type="dxa" w:w="4320"/>
            <w:shd w:val="clear" w:fill="0A2733"/>
          </w:tcPr>
          <w:p>
            <w:r>
              <w:rPr>
                <w:b/>
                <w:color w:val="FFFFFF"/>
                <w:sz w:val="20"/>
              </w:rPr>
              <w:t>Événement / Changement</w:t>
            </w:r>
          </w:p>
        </w:tc>
      </w:tr>
      <w:tr>
        <w:tc>
          <w:tcPr>
            <w:tcW w:type="dxa" w:w="4320"/>
          </w:tcPr>
          <w:p>
            <w:r>
              <w:rPr>
                <w:i/>
                <w:sz w:val="20"/>
              </w:rPr>
              <w:t>{{date_reported}}</w:t>
            </w:r>
          </w:p>
        </w:tc>
        <w:tc>
          <w:tcPr>
            <w:tcW w:type="dxa" w:w="4320"/>
          </w:tcPr>
          <w:p>
            <w:r>
              <w:rPr>
                <w:i/>
                <w:sz w:val="20"/>
              </w:rPr>
              <w:t>Vulnérabilité signalée par {{reporter_credit}}</w:t>
            </w:r>
          </w:p>
        </w:tc>
      </w:tr>
      <w:tr>
        <w:tc>
          <w:tcPr>
            <w:tcW w:type="dxa" w:w="4320"/>
          </w:tcPr>
          <w:p>
            <w:r>
              <w:rPr>
                <w:i/>
                <w:sz w:val="20"/>
              </w:rPr>
              <w:t>{{date_triaged}}</w:t>
            </w:r>
          </w:p>
        </w:tc>
        <w:tc>
          <w:tcPr>
            <w:tcW w:type="dxa" w:w="4320"/>
          </w:tcPr>
          <w:p>
            <w:r>
              <w:rPr>
                <w:sz w:val="20"/>
              </w:rPr>
              <w:t>Signalement trié et confirmé</w:t>
            </w:r>
          </w:p>
        </w:tc>
      </w:tr>
      <w:tr>
        <w:tc>
          <w:tcPr>
            <w:tcW w:type="dxa" w:w="4320"/>
          </w:tcPr>
          <w:p>
            <w:r>
              <w:rPr>
                <w:i/>
                <w:sz w:val="20"/>
              </w:rPr>
              <w:t>{{date_cve_assigned}}</w:t>
            </w:r>
          </w:p>
        </w:tc>
        <w:tc>
          <w:tcPr>
            <w:tcW w:type="dxa" w:w="4320"/>
          </w:tcPr>
          <w:p>
            <w:r>
              <w:rPr>
                <w:i/>
                <w:sz w:val="20"/>
              </w:rPr>
              <w:t>{{cve_id}} attribué</w:t>
            </w:r>
          </w:p>
        </w:tc>
      </w:tr>
      <w:tr>
        <w:tc>
          <w:tcPr>
            <w:tcW w:type="dxa" w:w="4320"/>
          </w:tcPr>
          <w:p>
            <w:r>
              <w:rPr>
                <w:i/>
                <w:sz w:val="20"/>
              </w:rPr>
              <w:t>{{date_fix_released}}</w:t>
            </w:r>
          </w:p>
        </w:tc>
        <w:tc>
          <w:tcPr>
            <w:tcW w:type="dxa" w:w="4320"/>
          </w:tcPr>
          <w:p>
            <w:r>
              <w:rPr>
                <w:i/>
                <w:sz w:val="20"/>
              </w:rPr>
              <w:t>Version corrigée {{fixed_version}} publiée</w:t>
            </w:r>
          </w:p>
        </w:tc>
      </w:tr>
      <w:tr>
        <w:tc>
          <w:tcPr>
            <w:tcW w:type="dxa" w:w="4320"/>
          </w:tcPr>
          <w:p>
            <w:r>
              <w:rPr>
                <w:i/>
                <w:sz w:val="20"/>
              </w:rPr>
              <w:t>{{date_published}}</w:t>
            </w:r>
          </w:p>
        </w:tc>
        <w:tc>
          <w:tcPr>
            <w:tcW w:type="dxa" w:w="4320"/>
          </w:tcPr>
          <w:p>
            <w:r>
              <w:rPr>
                <w:sz w:val="20"/>
              </w:rPr>
              <w:t>Avis publié (journal des mises à jour v1.0 : publication initiale)</w:t>
            </w:r>
          </w:p>
        </w:tc>
      </w:tr>
      <w:tr>
        <w:tc>
          <w:tcPr>
            <w:tcW w:type="dxa" w:w="4320"/>
          </w:tcPr>
          <w:p>
            <w:r>
              <w:rPr>
                <w:i/>
                <w:sz w:val="20"/>
              </w:rPr>
              <w:t>{{update_date}}</w:t>
            </w:r>
          </w:p>
        </w:tc>
        <w:tc>
          <w:tcPr>
            <w:tcW w:type="dxa" w:w="4320"/>
          </w:tcPr>
          <w:p>
            <w:r>
              <w:rPr>
                <w:i/>
                <w:sz w:val="20"/>
              </w:rPr>
              <w:t>Journal des mises à jour v{{update_version}} : {{update_description}}</w:t>
            </w:r>
          </w:p>
        </w:tc>
      </w:tr>
    </w:tbl>
    <w:p/>
    <w:p>
      <w:pPr>
        <w:pStyle w:val="Heading2"/>
      </w:pPr>
      <w:r>
        <w:rPr>
          <w:color w:val="0A2733"/>
        </w:rPr>
        <w:t>Variante e-mail de notification</w:t>
      </w:r>
    </w:p>
    <w:p>
      <w:r>
        <w:t>Subject: [{{severity_uppercase}}] Avis de sécurité {{advisory_id}} : {{advisory_title_short}}</w:t>
      </w:r>
    </w:p>
    <w:p>
      <w:r>
        <w:t>Bonjour {{recipient_name}},</w:t>
      </w:r>
    </w:p>
    <w:p>
      <w:r>
        <w:t>Nous avons publié un avis de sécurité concernant {{product_name}}.</w:t>
      </w:r>
    </w:p>
    <w:p>
      <w:r>
        <w:t>Avis : {{advisory_id}} — {{advisory_title_short}}</w:t>
        <w:br/>
        <w:t>CVE / EUVD : {{cve_id}} / {{euvd_id}}</w:t>
        <w:br/>
        <w:t>Sévérité : {{severity}} (CVSS v4.0 {{cvss_base_score}})</w:t>
        <w:br/>
        <w:t>Concerné : {{affected_version_range}}</w:t>
        <w:br/>
        <w:t>Corrigé dans : {{fixed_version}}</w:t>
        <w:br/>
        <w:t>Exploitation : {{exploitation_status}}</w:t>
      </w:r>
    </w:p>
    <w:p>
      <w:r>
        <w:t>Ce que vous devez faire :</w:t>
        <w:br/>
        <w:t>{{action_summary}}</w:t>
      </w:r>
    </w:p>
    <w:p>
      <w:r>
        <w:t>L'avis complet, avec les mesures d'atténuation et la chronologie de divulgation :</w:t>
        <w:br/>
        <w:t>{{advisory_url}}</w:t>
      </w:r>
    </w:p>
    <w:p>
      <w:r>
        <w:t>Nous mettrons l'avis à jour en cas de changement significatif ; les abonnés à notre Trust Center reçoivent ces mises à jour automatiquement.</w:t>
      </w:r>
    </w:p>
    <w:p>
      <w:r>
        <w:t>{{sender_name}}</w:t>
        <w:br/>
        <w:t>Équipe sécurité, {{company_name}}</w:t>
        <w:br/>
        <w:t>{{security_contact_email}}</w:t>
      </w:r>
    </w:p>
    <w:p>
      <w:r>
        <w:t>Bloc de contact de l'avis lui-même : signalez les vulnérabilités à {{security_contact_email}} (politique de divulgation coordonnée : {{cvd_policy_url}}). Clé PGP : {{pgp_key_url}} — empreinte {{pgp_fingerprint}}.</w:t>
      </w:r>
    </w:p>
    <w:p>
      <w:r>
        <w:br w:type="page"/>
      </w:r>
    </w:p>
    <w:p>
      <w:pPr>
        <w:pStyle w:val="Heading1"/>
      </w:pPr>
      <w:r>
        <w:rPr>
          <w:color w:val="0A2733"/>
        </w:rPr>
        <w:t>EXEMPLE REMPLI (fictif — remplacez par vos propres données)</w:t>
      </w:r>
    </w:p>
    <w:p>
      <w:pPr>
        <w:pStyle w:val="Heading2"/>
      </w:pPr>
      <w:r>
        <w:rPr>
          <w:color w:val="0A2733"/>
        </w:rPr>
        <w:t>Bloc d'en-tête de l'avis — EXEMPLE (fictif)</w:t>
      </w:r>
    </w:p>
    <w:p>
      <w:r>
        <w:t>Tous les noms, produits, versions, identifiants et événements sont fictifs et fournis à titre d'illustration uniquement.</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Champ</w:t>
            </w:r>
          </w:p>
        </w:tc>
        <w:tc>
          <w:tcPr>
            <w:tcW w:type="dxa" w:w="4320"/>
            <w:shd w:val="clear" w:fill="0A2733"/>
          </w:tcPr>
          <w:p>
            <w:r>
              <w:rPr>
                <w:b/>
                <w:color w:val="FFFFFF"/>
                <w:sz w:val="20"/>
              </w:rPr>
              <w:t>Valeur</w:t>
            </w:r>
          </w:p>
        </w:tc>
      </w:tr>
      <w:tr>
        <w:tc>
          <w:tcPr>
            <w:tcW w:type="dxa" w:w="4320"/>
          </w:tcPr>
          <w:p>
            <w:r>
              <w:rPr>
                <w:sz w:val="20"/>
              </w:rPr>
              <w:t>Titre de l'avis</w:t>
            </w:r>
          </w:p>
        </w:tc>
        <w:tc>
          <w:tcPr>
            <w:tcW w:type="dxa" w:w="4320"/>
          </w:tcPr>
          <w:p>
            <w:r>
              <w:rPr>
                <w:sz w:val="20"/>
              </w:rPr>
              <w:t>Aurivo Edge Gateway : exécution de code à distance non authentifiée dans l'API de synchronisation (CVE-2026-41337)</w:t>
            </w:r>
          </w:p>
        </w:tc>
      </w:tr>
      <w:tr>
        <w:tc>
          <w:tcPr>
            <w:tcW w:type="dxa" w:w="4320"/>
          </w:tcPr>
          <w:p>
            <w:r>
              <w:rPr>
                <w:sz w:val="20"/>
              </w:rPr>
              <w:t>ID de l'avis</w:t>
            </w:r>
          </w:p>
        </w:tc>
        <w:tc>
          <w:tcPr>
            <w:tcW w:type="dxa" w:w="4320"/>
          </w:tcPr>
          <w:p>
            <w:r>
              <w:rPr>
                <w:sz w:val="20"/>
              </w:rPr>
              <w:t>AURIVO-SA-2026-004</w:t>
            </w:r>
          </w:p>
        </w:tc>
      </w:tr>
      <w:tr>
        <w:tc>
          <w:tcPr>
            <w:tcW w:type="dxa" w:w="4320"/>
          </w:tcPr>
          <w:p>
            <w:r>
              <w:rPr>
                <w:sz w:val="20"/>
              </w:rPr>
              <w:t>ID CVE</w:t>
            </w:r>
          </w:p>
        </w:tc>
        <w:tc>
          <w:tcPr>
            <w:tcW w:type="dxa" w:w="4320"/>
          </w:tcPr>
          <w:p>
            <w:r>
              <w:rPr>
                <w:sz w:val="20"/>
              </w:rPr>
              <w:t>CVE-2026-41337</w:t>
            </w:r>
          </w:p>
        </w:tc>
      </w:tr>
      <w:tr>
        <w:tc>
          <w:tcPr>
            <w:tcW w:type="dxa" w:w="4320"/>
          </w:tcPr>
          <w:p>
            <w:r>
              <w:rPr>
                <w:sz w:val="20"/>
              </w:rPr>
              <w:t>ID EUVD</w:t>
            </w:r>
          </w:p>
        </w:tc>
        <w:tc>
          <w:tcPr>
            <w:tcW w:type="dxa" w:w="4320"/>
          </w:tcPr>
          <w:p>
            <w:r>
              <w:rPr>
                <w:sz w:val="20"/>
              </w:rPr>
              <w:t>EUVD-2026-08123</w:t>
            </w:r>
          </w:p>
        </w:tc>
      </w:tr>
      <w:tr>
        <w:tc>
          <w:tcPr>
            <w:tcW w:type="dxa" w:w="4320"/>
          </w:tcPr>
          <w:p>
            <w:r>
              <w:rPr>
                <w:sz w:val="20"/>
              </w:rPr>
              <w:t>Sévérité</w:t>
            </w:r>
          </w:p>
        </w:tc>
        <w:tc>
          <w:tcPr>
            <w:tcW w:type="dxa" w:w="4320"/>
          </w:tcPr>
          <w:p>
            <w:r>
              <w:rPr>
                <w:sz w:val="20"/>
              </w:rPr>
              <w:t>critique (9.3)</w:t>
            </w:r>
          </w:p>
        </w:tc>
      </w:tr>
      <w:tr>
        <w:tc>
          <w:tcPr>
            <w:tcW w:type="dxa" w:w="4320"/>
          </w:tcPr>
          <w:p>
            <w:r>
              <w:rPr>
                <w:sz w:val="20"/>
              </w:rPr>
              <w:t>Vecteur CVSS v4.0</w:t>
            </w:r>
          </w:p>
        </w:tc>
        <w:tc>
          <w:tcPr>
            <w:tcW w:type="dxa" w:w="4320"/>
          </w:tcPr>
          <w:p>
            <w:r>
              <w:rPr>
                <w:sz w:val="20"/>
              </w:rPr>
              <w:t>CVSS:4.0/AV:N/AC:L/AT:N/PR:N/UI:N/VC:H/VI:H/VA:H/SC:N/SI:N/SA:N</w:t>
            </w:r>
          </w:p>
        </w:tc>
      </w:tr>
      <w:tr>
        <w:tc>
          <w:tcPr>
            <w:tcW w:type="dxa" w:w="4320"/>
          </w:tcPr>
          <w:p>
            <w:r>
              <w:rPr>
                <w:sz w:val="20"/>
              </w:rPr>
              <w:t>Statut d'exploitation</w:t>
            </w:r>
          </w:p>
        </w:tc>
        <w:tc>
          <w:tcPr>
            <w:tcW w:type="dxa" w:w="4320"/>
          </w:tcPr>
          <w:p>
            <w:r>
              <w:rPr>
                <w:sz w:val="20"/>
              </w:rPr>
              <w:t>none-known</w:t>
            </w:r>
          </w:p>
        </w:tc>
      </w:tr>
      <w:tr>
        <w:tc>
          <w:tcPr>
            <w:tcW w:type="dxa" w:w="4320"/>
          </w:tcPr>
          <w:p>
            <w:r>
              <w:rPr>
                <w:sz w:val="20"/>
              </w:rPr>
              <w:t>État de l'avis</w:t>
            </w:r>
          </w:p>
        </w:tc>
        <w:tc>
          <w:tcPr>
            <w:tcW w:type="dxa" w:w="4320"/>
          </w:tcPr>
          <w:p>
            <w:r>
              <w:rPr>
                <w:sz w:val="20"/>
              </w:rPr>
              <w:t>published</w:t>
            </w:r>
          </w:p>
        </w:tc>
      </w:tr>
      <w:tr>
        <w:tc>
          <w:tcPr>
            <w:tcW w:type="dxa" w:w="4320"/>
          </w:tcPr>
          <w:p>
            <w:r>
              <w:rPr>
                <w:sz w:val="20"/>
              </w:rPr>
              <w:t>Première publication (UTC)</w:t>
            </w:r>
          </w:p>
        </w:tc>
        <w:tc>
          <w:tcPr>
            <w:tcW w:type="dxa" w:w="4320"/>
          </w:tcPr>
          <w:p>
            <w:r>
              <w:rPr>
                <w:sz w:val="20"/>
              </w:rPr>
              <w:t>2026-06-24</w:t>
            </w:r>
          </w:p>
        </w:tc>
      </w:tr>
      <w:tr>
        <w:tc>
          <w:tcPr>
            <w:tcW w:type="dxa" w:w="4320"/>
          </w:tcPr>
          <w:p>
            <w:r>
              <w:rPr>
                <w:sz w:val="20"/>
              </w:rPr>
              <w:t>Dernière mise à jour (UTC)</w:t>
            </w:r>
          </w:p>
        </w:tc>
        <w:tc>
          <w:tcPr>
            <w:tcW w:type="dxa" w:w="4320"/>
          </w:tcPr>
          <w:p>
            <w:r>
              <w:rPr>
                <w:sz w:val="20"/>
              </w:rPr>
              <w:t>2026-07-01</w:t>
            </w:r>
          </w:p>
        </w:tc>
      </w:tr>
      <w:tr>
        <w:tc>
          <w:tcPr>
            <w:tcW w:type="dxa" w:w="4320"/>
          </w:tcPr>
          <w:p>
            <w:r>
              <w:rPr>
                <w:sz w:val="20"/>
              </w:rPr>
              <w:t>Résumé</w:t>
            </w:r>
          </w:p>
        </w:tc>
        <w:tc>
          <w:tcPr>
            <w:tcW w:type="dxa" w:w="4320"/>
          </w:tcPr>
          <w:p>
            <w:r>
              <w:rPr>
                <w:sz w:val="20"/>
              </w:rPr>
              <w:t>Une faille de désérialisation dans l'API de synchronisation des appareils d'Aurivo Edge Gateway permet à un attaquant réseau non authentifié d'exécuter du code arbitraire avec les privilèges du service. Aurivo Edge Gateway 3.8.2 corrige le problème. Mettez à niveau immédiatement ; un contournement par configuration est disponible pour les déploiements qui ne peuvent pas appliquer le correctif cette semaine.</w:t>
            </w:r>
          </w:p>
        </w:tc>
      </w:tr>
    </w:tbl>
    <w:p/>
    <w:p>
      <w:pPr>
        <w:pStyle w:val="Heading2"/>
      </w:pPr>
      <w:r>
        <w:rPr>
          <w:color w:val="0A2733"/>
        </w:rPr>
        <w:t>Tableau des détails de la vulnérabilité — EXEMPLE (fictif)</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Champ</w:t>
            </w:r>
          </w:p>
        </w:tc>
        <w:tc>
          <w:tcPr>
            <w:tcW w:type="dxa" w:w="4320"/>
            <w:shd w:val="clear" w:fill="0A2733"/>
          </w:tcPr>
          <w:p>
            <w:r>
              <w:rPr>
                <w:b/>
                <w:color w:val="FFFFFF"/>
                <w:sz w:val="20"/>
              </w:rPr>
              <w:t>Contenu</w:t>
            </w:r>
          </w:p>
        </w:tc>
      </w:tr>
      <w:tr>
        <w:tc>
          <w:tcPr>
            <w:tcW w:type="dxa" w:w="4320"/>
          </w:tcPr>
          <w:p>
            <w:r>
              <w:rPr>
                <w:sz w:val="20"/>
              </w:rPr>
              <w:t>Impact</w:t>
            </w:r>
          </w:p>
        </w:tc>
        <w:tc>
          <w:tcPr>
            <w:tcW w:type="dxa" w:w="4320"/>
          </w:tcPr>
          <w:p>
            <w:r>
              <w:rPr>
                <w:sz w:val="20"/>
              </w:rPr>
              <w:t>Un attaquant disposant d'un accès réseau au port de l'API de synchronisation (8443/tcp par défaut) peut envoyer une charge utile spécialement conçue qui est désérialisée sans validation, entraînant l'exécution de code à distance sous le compte de service aurivo-sync. Aucune authentification ni interaction utilisateur n'est requise. Les déploiements qui restreignent le port 8443 aux réseaux d'administration réduisent l'exposition sans l'éliminer.</w:t>
            </w:r>
          </w:p>
        </w:tc>
      </w:tr>
      <w:tr>
        <w:tc>
          <w:tcPr>
            <w:tcW w:type="dxa" w:w="4320"/>
          </w:tcPr>
          <w:p>
            <w:r>
              <w:rPr>
                <w:sz w:val="20"/>
              </w:rPr>
              <w:t>Détails d'exploitation</w:t>
            </w:r>
          </w:p>
        </w:tc>
        <w:tc>
          <w:tcPr>
            <w:tcW w:type="dxa" w:w="4320"/>
          </w:tcPr>
          <w:p>
            <w:r>
              <w:rPr>
                <w:sz w:val="20"/>
              </w:rPr>
              <w:t>Nous n'avons pas connaissance d'une exploitation active, et aucune preuve de concept publique n'existe à la date de publication. Si nous venions à avoir connaissance d'une exploitation active, nous la signalerions via la plateforme de signalement unique du CRA conformément à l'article 14 et mettrions cet avis à jour.</w:t>
            </w:r>
          </w:p>
        </w:tc>
      </w:tr>
      <w:tr>
        <w:tc>
          <w:tcPr>
            <w:tcW w:type="dxa" w:w="4320"/>
          </w:tcPr>
          <w:p>
            <w:r>
              <w:rPr>
                <w:sz w:val="20"/>
              </w:rPr>
              <w:t>Remerciements</w:t>
            </w:r>
          </w:p>
        </w:tc>
        <w:tc>
          <w:tcPr>
            <w:tcW w:type="dxa" w:w="4320"/>
          </w:tcPr>
          <w:p>
            <w:r>
              <w:rPr>
                <w:sz w:val="20"/>
              </w:rPr>
              <w:t>Mira Lindqvist (chercheuse indépendante) — signalement reçu via notre programme de divulgation coordonnée des vulnérabilités.</w:t>
            </w:r>
          </w:p>
        </w:tc>
      </w:tr>
    </w:tbl>
    <w:p/>
    <w:p>
      <w:pPr>
        <w:pStyle w:val="Heading2"/>
      </w:pPr>
      <w:r>
        <w:rPr>
          <w:color w:val="0A2733"/>
        </w:rPr>
        <w:t>Tableau des versions concernées et corrigées — EXEMPLE (fictif)</w:t>
      </w:r>
    </w:p>
    <w:p>
      <w:r>
        <w:t>Non concernés : Aurivo Cloud Console (l'API de synchronisation n'y est pas exposée) ; les versions d'Edge Gateway antérieures à 3.2.0 (le point de terminaison concerné a été introduit en 3.2.0).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0A2733"/>
          </w:tcPr>
          <w:p>
            <w:r>
              <w:rPr>
                <w:b/>
                <w:color w:val="FFFFFF"/>
                <w:sz w:val="20"/>
              </w:rPr>
              <w:t>Produit</w:t>
            </w:r>
          </w:p>
        </w:tc>
        <w:tc>
          <w:tcPr>
            <w:tcW w:type="dxa" w:w="2160"/>
            <w:shd w:val="clear" w:fill="0A2733"/>
          </w:tcPr>
          <w:p>
            <w:r>
              <w:rPr>
                <w:b/>
                <w:color w:val="FFFFFF"/>
                <w:sz w:val="20"/>
              </w:rPr>
              <w:t>Versions concernées</w:t>
            </w:r>
          </w:p>
        </w:tc>
        <w:tc>
          <w:tcPr>
            <w:tcW w:type="dxa" w:w="2160"/>
            <w:shd w:val="clear" w:fill="0A2733"/>
          </w:tcPr>
          <w:p>
            <w:r>
              <w:rPr>
                <w:b/>
                <w:color w:val="FFFFFF"/>
                <w:sz w:val="20"/>
              </w:rPr>
              <w:t>Version corrigée</w:t>
            </w:r>
          </w:p>
        </w:tc>
        <w:tc>
          <w:tcPr>
            <w:tcW w:type="dxa" w:w="2160"/>
            <w:shd w:val="clear" w:fill="0A2733"/>
          </w:tcPr>
          <w:p>
            <w:r>
              <w:rPr>
                <w:b/>
                <w:color w:val="FFFFFF"/>
                <w:sz w:val="20"/>
              </w:rPr>
              <w:t>Déploiement</w:t>
            </w:r>
          </w:p>
        </w:tc>
      </w:tr>
      <w:tr>
        <w:tc>
          <w:tcPr>
            <w:tcW w:type="dxa" w:w="2160"/>
          </w:tcPr>
          <w:p>
            <w:r>
              <w:rPr>
                <w:sz w:val="20"/>
              </w:rPr>
              <w:t>Aurivo Edge Gateway</w:t>
            </w:r>
          </w:p>
        </w:tc>
        <w:tc>
          <w:tcPr>
            <w:tcW w:type="dxa" w:w="2160"/>
          </w:tcPr>
          <w:p>
            <w:r>
              <w:rPr>
                <w:sz w:val="20"/>
              </w:rPr>
              <w:t>3.2.0 – 3.8.1</w:t>
            </w:r>
          </w:p>
        </w:tc>
        <w:tc>
          <w:tcPr>
            <w:tcW w:type="dxa" w:w="2160"/>
          </w:tcPr>
          <w:p>
            <w:r>
              <w:rPr>
                <w:sz w:val="20"/>
              </w:rPr>
              <w:t>3.8.2</w:t>
            </w:r>
          </w:p>
        </w:tc>
        <w:tc>
          <w:tcPr>
            <w:tcW w:type="dxa" w:w="2160"/>
          </w:tcPr>
          <w:p>
            <w:r>
              <w:rPr>
                <w:sz w:val="20"/>
              </w:rPr>
              <w:t>self-hosted</w:t>
            </w:r>
          </w:p>
        </w:tc>
      </w:tr>
      <w:tr>
        <w:tc>
          <w:tcPr>
            <w:tcW w:type="dxa" w:w="2160"/>
          </w:tcPr>
          <w:p>
            <w:r>
              <w:rPr>
                <w:sz w:val="20"/>
              </w:rPr>
              <w:t>Aurivo Edge Gateway LTS</w:t>
            </w:r>
          </w:p>
        </w:tc>
        <w:tc>
          <w:tcPr>
            <w:tcW w:type="dxa" w:w="2160"/>
          </w:tcPr>
          <w:p>
            <w:r>
              <w:rPr>
                <w:sz w:val="20"/>
              </w:rPr>
              <w:t>2.9.0 – 2.9.14</w:t>
            </w:r>
          </w:p>
        </w:tc>
        <w:tc>
          <w:tcPr>
            <w:tcW w:type="dxa" w:w="2160"/>
          </w:tcPr>
          <w:p>
            <w:r>
              <w:rPr>
                <w:sz w:val="20"/>
              </w:rPr>
              <w:t>2.9.15</w:t>
            </w:r>
          </w:p>
        </w:tc>
        <w:tc>
          <w:tcPr>
            <w:tcW w:type="dxa" w:w="2160"/>
          </w:tcPr>
          <w:p>
            <w:r>
              <w:rPr>
                <w:sz w:val="20"/>
              </w:rPr>
              <w:t>self-hosted</w:t>
            </w:r>
          </w:p>
        </w:tc>
      </w:tr>
    </w:tbl>
    <w:p/>
    <w:p>
      <w:pPr>
        <w:pStyle w:val="Heading2"/>
      </w:pPr>
      <w:r>
        <w:rPr>
          <w:color w:val="0A2733"/>
        </w:rPr>
        <w:t>Mesures d'atténuation — EXEMPLE (fictif)</w:t>
      </w:r>
    </w:p>
    <w:p>
      <w:r>
        <w:t>Action recommandée : passez à Aurivo Edge Gateway 3.8.2 (ou LTS 2.9.15) ou une version ultérieure. La mise à jour de sécurité est gratuite pour toutes les installations prises en charge et disponible via le canal de mise à jour standard. Contournement : les déploiements qui ne peuvent pas appliquer le correctif immédiatement doivent restreindre l'accès au port TCP 8443 aux réseaux d'administration de confiance, ou désactiver l'API de synchronisation des appareils (sync.enabled = false dans gateway.conf ; nécessite un redémarrage du service). La désactivation de la synchronisation suspend la distribution de la configuration du parc mais n'affecte pas le trafic du plan de données.</w:t>
      </w:r>
    </w:p>
    <w:p>
      <w:pPr>
        <w:pStyle w:val="Heading2"/>
      </w:pPr>
      <w:r>
        <w:rPr>
          <w:color w:val="0A2733"/>
        </w:rPr>
        <w:t>Chronologie et journal des mises à jour — EXEMPLE (fictif)</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Date (UTC)</w:t>
            </w:r>
          </w:p>
        </w:tc>
        <w:tc>
          <w:tcPr>
            <w:tcW w:type="dxa" w:w="4320"/>
            <w:shd w:val="clear" w:fill="0A2733"/>
          </w:tcPr>
          <w:p>
            <w:r>
              <w:rPr>
                <w:b/>
                <w:color w:val="FFFFFF"/>
                <w:sz w:val="20"/>
              </w:rPr>
              <w:t>Événement / Changement</w:t>
            </w:r>
          </w:p>
        </w:tc>
      </w:tr>
      <w:tr>
        <w:tc>
          <w:tcPr>
            <w:tcW w:type="dxa" w:w="4320"/>
          </w:tcPr>
          <w:p>
            <w:r>
              <w:rPr>
                <w:sz w:val="20"/>
              </w:rPr>
              <w:t>2026-06-09</w:t>
            </w:r>
          </w:p>
        </w:tc>
        <w:tc>
          <w:tcPr>
            <w:tcW w:type="dxa" w:w="4320"/>
          </w:tcPr>
          <w:p>
            <w:r>
              <w:rPr>
                <w:sz w:val="20"/>
              </w:rPr>
              <w:t>Vulnérabilité signalée par Mira Lindqvist (chercheuse indépendante)</w:t>
            </w:r>
          </w:p>
        </w:tc>
      </w:tr>
      <w:tr>
        <w:tc>
          <w:tcPr>
            <w:tcW w:type="dxa" w:w="4320"/>
          </w:tcPr>
          <w:p>
            <w:r>
              <w:rPr>
                <w:sz w:val="20"/>
              </w:rPr>
              <w:t>2026-06-10</w:t>
            </w:r>
          </w:p>
        </w:tc>
        <w:tc>
          <w:tcPr>
            <w:tcW w:type="dxa" w:w="4320"/>
          </w:tcPr>
          <w:p>
            <w:r>
              <w:rPr>
                <w:sz w:val="20"/>
              </w:rPr>
              <w:t>Signalement trié et confirmé</w:t>
            </w:r>
          </w:p>
        </w:tc>
      </w:tr>
      <w:tr>
        <w:tc>
          <w:tcPr>
            <w:tcW w:type="dxa" w:w="4320"/>
          </w:tcPr>
          <w:p>
            <w:r>
              <w:rPr>
                <w:sz w:val="20"/>
              </w:rPr>
              <w:t>2026-06-12</w:t>
            </w:r>
          </w:p>
        </w:tc>
        <w:tc>
          <w:tcPr>
            <w:tcW w:type="dxa" w:w="4320"/>
          </w:tcPr>
          <w:p>
            <w:r>
              <w:rPr>
                <w:sz w:val="20"/>
              </w:rPr>
              <w:t>CVE-2026-41337 attribué</w:t>
            </w:r>
          </w:p>
        </w:tc>
      </w:tr>
      <w:tr>
        <w:tc>
          <w:tcPr>
            <w:tcW w:type="dxa" w:w="4320"/>
          </w:tcPr>
          <w:p>
            <w:r>
              <w:rPr>
                <w:sz w:val="20"/>
              </w:rPr>
              <w:t>2026-06-24</w:t>
            </w:r>
          </w:p>
        </w:tc>
        <w:tc>
          <w:tcPr>
            <w:tcW w:type="dxa" w:w="4320"/>
          </w:tcPr>
          <w:p>
            <w:r>
              <w:rPr>
                <w:sz w:val="20"/>
              </w:rPr>
              <w:t>Versions corrigées 3.8.2 et 2.9.15 publiées</w:t>
            </w:r>
          </w:p>
        </w:tc>
      </w:tr>
      <w:tr>
        <w:tc>
          <w:tcPr>
            <w:tcW w:type="dxa" w:w="4320"/>
          </w:tcPr>
          <w:p>
            <w:r>
              <w:rPr>
                <w:sz w:val="20"/>
              </w:rPr>
              <w:t>2026-06-24</w:t>
            </w:r>
          </w:p>
        </w:tc>
        <w:tc>
          <w:tcPr>
            <w:tcW w:type="dxa" w:w="4320"/>
          </w:tcPr>
          <w:p>
            <w:r>
              <w:rPr>
                <w:sz w:val="20"/>
              </w:rPr>
              <w:t>Avis publié (journal des mises à jour v1.0 : publication initiale)</w:t>
            </w:r>
          </w:p>
        </w:tc>
      </w:tr>
      <w:tr>
        <w:tc>
          <w:tcPr>
            <w:tcW w:type="dxa" w:w="4320"/>
          </w:tcPr>
          <w:p>
            <w:r>
              <w:rPr>
                <w:sz w:val="20"/>
              </w:rPr>
              <w:t>2026-07-01</w:t>
            </w:r>
          </w:p>
        </w:tc>
        <w:tc>
          <w:tcPr>
            <w:tcW w:type="dxa" w:w="4320"/>
          </w:tcPr>
          <w:p>
            <w:r>
              <w:rPr>
                <w:sz w:val="20"/>
              </w:rPr>
              <w:t>Journal des mises à jour v1.1 : ajout de la plage concernée LTS 2.9.x et de la version corrigée 2.9.15</w:t>
            </w:r>
          </w:p>
        </w:tc>
      </w:tr>
    </w:tbl>
    <w:p/>
    <w:p>
      <w:pPr>
        <w:pStyle w:val="Heading2"/>
      </w:pPr>
      <w:r>
        <w:rPr>
          <w:color w:val="0A2733"/>
        </w:rPr>
        <w:t>Variante e-mail de notification — EXEMPLE (fictif)</w:t>
      </w:r>
    </w:p>
    <w:p>
      <w:r>
        <w:t>Subject: [CRITICAL] Avis de sécurité AURIVO-SA-2026-004 : RCE non authentifiée dans l'API de synchronisation d'Aurivo Edge Gateway</w:t>
      </w:r>
    </w:p>
    <w:p>
      <w:r>
        <w:t>Bonjour Madame Berg,</w:t>
      </w:r>
    </w:p>
    <w:p>
      <w:r>
        <w:t>Nous avons publié un avis de sécurité concernant Aurivo Edge Gateway.</w:t>
      </w:r>
    </w:p>
    <w:p>
      <w:r>
        <w:t>Avis : AURIVO-SA-2026-004 — RCE non authentifiée dans l'API de synchronisation</w:t>
        <w:br/>
        <w:t>CVE / EUVD : CVE-2026-41337 / EUVD-2026-08123</w:t>
        <w:br/>
        <w:t>Sévérité : critique (CVSS v4.0 9.3)</w:t>
        <w:br/>
        <w:t>Concerné : 3.2.0 – 3.8.1 et LTS 2.9.0 – 2.9.14</w:t>
        <w:br/>
        <w:t>Corrigé dans : 3.8.2 / LTS 2.9.15</w:t>
        <w:br/>
        <w:t>Exploitation : none-known</w:t>
      </w:r>
    </w:p>
    <w:p>
      <w:r>
        <w:t>Ce que vous devez faire :</w:t>
        <w:br/>
        <w:t>Mettez à niveau dès que possible toutes les instances Edge Gateway auto-hébergées vers 3.8.2 (ou LTS 2.9.15). Si vous ne pouvez pas appliquer le correctif cette semaine, restreignez le port TCP 8443 aux réseaux d'administration de confiance ou désactivez l'API de synchronisation des appareils.</w:t>
      </w:r>
    </w:p>
    <w:p>
      <w:r>
        <w:t>L'avis complet, avec les mesures d'atténuation et la chronologie de divulgation :</w:t>
        <w:br/>
        <w:t>https://trust.aurivo.example/advisories/AURIVO-SA-2026-004</w:t>
      </w:r>
    </w:p>
    <w:p>
      <w:r>
        <w:t>Nous mettrons l'avis à jour en cas de changement significatif ; les abonnés à notre Trust Center reçoivent ces mises à jour automatiquement.</w:t>
      </w:r>
    </w:p>
    <w:p>
      <w:r>
        <w:t>Jonas Feld</w:t>
        <w:br/>
        <w:t>Équipe sécurité, Aurivo Systems GmbH</w:t>
        <w:br/>
        <w:t>security@aurivo.example</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A9397"/>
        <w:sz w:val="15"/>
      </w:rPr>
      <w:t>CRA Vulnerability Advisory Template v1.0 · 2026-07-03 · Orbiq · www.orbiqhq.com/templates/cra-vulnerability-advisory-template · Not legal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w:hAnsi="Helvetic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