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Modèle de stratégie de sortie et de plan de sortie DORA</w:t>
      </w:r>
    </w:p>
    <w:p>
      <w:r>
        <w:rPr>
          <w:b w:val="0"/>
          <w:i/>
          <w:sz w:val="22"/>
        </w:rPr>
        <w:t>Article 28(8), règlement (UE) 2022/2554 · RTS (UE) 2024/1773, article 10</w:t>
      </w:r>
    </w:p>
    <w:p>
      <w:r>
        <w:rPr>
          <w:b w:val="0"/>
          <w:i w:val="0"/>
          <w:sz w:val="18"/>
        </w:rPr>
        <w:t>MODÈLE GRATUIT — DOCX · PDF · MD | Version 1.0 · Mise à jour 2026-07-23</w:t>
      </w:r>
    </w:p>
    <w:p>
      <w:r>
        <w:rPr>
          <w:b w:val="0"/>
          <w:i w:val="0"/>
          <w:sz w:val="18"/>
        </w:rPr>
        <w:t>Mode d'emploi : la partie A est complétée une fois au niveau de l'entité. La partie B est complétée une fois par accord contractuel soutenant une fonction critique ou importante (un plan par accord — RTS (UE) 2024/1773, art. 10). La partie C consigne chaque test et chaque revue. La partie D est le runbook d'activation. La partie E est un exemple fictif complété. Remplacez tous les textes d'aide [entre crochets]. Ce modèle est un point de départ, pas un conseil juridique.</w:t>
      </w:r>
    </w:p>
    <w:p>
      <w:r>
        <w:rPr>
          <w:b/>
          <w:i w:val="0"/>
          <w:sz w:val="18"/>
        </w:rPr>
        <w:t>Résultats protégés — toute sortie doit s'achever (a) sans perturbation des activités de l'entreprise, (b) sans limitation du respect des exigences réglementaires, (c) sans préjudice pour la continuité et la qualité des services fournis aux clients (art. 28(8)).</w:t>
      </w:r>
    </w:p>
    <w:p>
      <w:r/>
    </w:p>
    <w:p>
      <w:pPr>
        <w:pStyle w:val="Heading1"/>
      </w:pPr>
      <w:r>
        <w:rPr>
          <w:color w:val="0A2733"/>
        </w:rPr>
        <w:t>Partie A — Stratégie de sortie au niveau de l'entité</w:t>
      </w:r>
    </w:p>
    <w:p>
      <w:r>
        <w:rPr>
          <w:b w:val="0"/>
          <w:i/>
          <w:sz w:val="18"/>
        </w:rPr>
        <w:t>Complétée une fois ; revue au moins une fois par an et à chaque changement significatif.</w:t>
      </w:r>
    </w:p>
    <w:p>
      <w:pPr>
        <w:pStyle w:val="Heading2"/>
      </w:pPr>
      <w:r>
        <w:rPr>
          <w:color w:val="0A2733"/>
        </w:rPr>
        <w:t>A.1 Périmètre &amp; gouvernance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Entité financière</w:t>
            </w:r>
          </w:p>
        </w:tc>
        <w:tc>
          <w:tcPr>
            <w:tcW w:type="dxa" w:w="6192"/>
          </w:tcPr>
          <w:p>
            <w:r>
              <w:rPr>
                <w:sz w:val="18"/>
              </w:rPr>
              <w:t>[Dénomination sociale · LEI]</w:t>
            </w:r>
          </w:p>
        </w:tc>
      </w:tr>
      <w:tr>
        <w:tc>
          <w:tcPr>
            <w:tcW w:type="dxa" w:w="3168"/>
            <w:shd w:val="clear" w:fill="EEF2F4"/>
          </w:tcPr>
          <w:p>
            <w:r>
              <w:rPr>
                <w:b/>
                <w:sz w:val="18"/>
              </w:rPr>
              <w:t>Type d'entité</w:t>
            </w:r>
          </w:p>
        </w:tc>
        <w:tc>
          <w:tcPr>
            <w:tcW w:type="dxa" w:w="6192"/>
          </w:tcPr>
          <w:p>
            <w:r>
              <w:rPr>
                <w:sz w:val="18"/>
              </w:rPr>
              <w:t>[Établissement de crédit / établissement de paiement / entreprise d'investissement / assureur / …]</w:t>
            </w:r>
          </w:p>
        </w:tc>
      </w:tr>
      <w:tr>
        <w:tc>
          <w:tcPr>
            <w:tcW w:type="dxa" w:w="3168"/>
            <w:shd w:val="clear" w:fill="EEF2F4"/>
          </w:tcPr>
          <w:p>
            <w:r>
              <w:rPr>
                <w:b/>
                <w:sz w:val="18"/>
              </w:rPr>
              <w:t>Autorité compétente</w:t>
            </w:r>
          </w:p>
        </w:tc>
        <w:tc>
          <w:tcPr>
            <w:tcW w:type="dxa" w:w="6192"/>
          </w:tcPr>
          <w:p>
            <w:r>
              <w:rPr>
                <w:sz w:val="18"/>
              </w:rPr>
              <w:t>[ACPR / AMF / BaFin / DNB / Finanstilsynet / …]</w:t>
            </w:r>
          </w:p>
        </w:tc>
      </w:tr>
      <w:tr>
        <w:tc>
          <w:tcPr>
            <w:tcW w:type="dxa" w:w="3168"/>
            <w:shd w:val="clear" w:fill="EEF2F4"/>
          </w:tcPr>
          <w:p>
            <w:r>
              <w:rPr>
                <w:b/>
                <w:sz w:val="18"/>
              </w:rPr>
              <w:t>Propriétaire de la stratégie</w:t>
            </w:r>
          </w:p>
        </w:tc>
        <w:tc>
          <w:tcPr>
            <w:tcW w:type="dxa" w:w="6192"/>
          </w:tcPr>
          <w:p>
            <w:r>
              <w:rPr>
                <w:sz w:val="18"/>
              </w:rPr>
              <w:t>[Rôle — p. ex. responsable de la gestion des risques tiers]</w:t>
            </w:r>
          </w:p>
        </w:tc>
      </w:tr>
      <w:tr>
        <w:tc>
          <w:tcPr>
            <w:tcW w:type="dxa" w:w="3168"/>
            <w:shd w:val="clear" w:fill="EEF2F4"/>
          </w:tcPr>
          <w:p>
            <w:r>
              <w:rPr>
                <w:b/>
                <w:sz w:val="18"/>
              </w:rPr>
              <w:t>Organe d'approbation</w:t>
            </w:r>
          </w:p>
        </w:tc>
        <w:tc>
          <w:tcPr>
            <w:tcW w:type="dxa" w:w="6192"/>
          </w:tcPr>
          <w:p>
            <w:r>
              <w:rPr>
                <w:sz w:val="18"/>
              </w:rPr>
              <w:t>[Organe de direction / comité + date d'approbation]</w:t>
            </w:r>
          </w:p>
        </w:tc>
      </w:tr>
      <w:tr>
        <w:tc>
          <w:tcPr>
            <w:tcW w:type="dxa" w:w="3168"/>
            <w:shd w:val="clear" w:fill="EEF2F4"/>
          </w:tcPr>
          <w:p>
            <w:r>
              <w:rPr>
                <w:b/>
                <w:sz w:val="18"/>
              </w:rPr>
              <w:t>Accords dans le périmètre</w:t>
            </w:r>
          </w:p>
        </w:tc>
        <w:tc>
          <w:tcPr>
            <w:tcW w:type="dxa" w:w="6192"/>
          </w:tcPr>
          <w:p>
            <w:r>
              <w:rPr>
                <w:sz w:val="18"/>
              </w:rPr>
              <w:t>[Liste des références de contrat soutenant des fonctions critiques ou importantes — rattachées au registre d'informations]</w:t>
            </w:r>
          </w:p>
        </w:tc>
      </w:tr>
      <w:tr>
        <w:tc>
          <w:tcPr>
            <w:tcW w:type="dxa" w:w="3168"/>
            <w:shd w:val="clear" w:fill="EEF2F4"/>
          </w:tcPr>
          <w:p>
            <w:r>
              <w:rPr>
                <w:b/>
                <w:sz w:val="18"/>
              </w:rPr>
              <w:t>Cadence de revue</w:t>
            </w:r>
          </w:p>
        </w:tc>
        <w:tc>
          <w:tcPr>
            <w:tcW w:type="dxa" w:w="6192"/>
          </w:tcPr>
          <w:p>
            <w:r>
              <w:rPr>
                <w:sz w:val="18"/>
              </w:rPr>
              <w:t>[Au moins annuelle + à chaque changement significatif ; date de la prochaine revue]</w:t>
            </w:r>
          </w:p>
        </w:tc>
      </w:tr>
    </w:tbl>
    <w:p/>
    <w:p>
      <w:pPr>
        <w:pStyle w:val="Heading2"/>
      </w:pPr>
      <w:r>
        <w:rPr>
          <w:color w:val="0A2733"/>
        </w:rPr>
        <w:t>A.2 Scénarios de risque (art. 28(8))</w:t>
      </w:r>
    </w:p>
    <w:p>
      <w:r>
        <w:rPr>
          <w:b w:val="0"/>
          <w:i w:val="0"/>
          <w:sz w:val="18"/>
        </w:rPr>
        <w:t>La stratégie de sortie doit tenir compte, au minimum, de :</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Scénario 1 — Défaillance du prestataire</w:t>
            </w:r>
          </w:p>
        </w:tc>
        <w:tc>
          <w:tcPr>
            <w:tcW w:type="dxa" w:w="6192"/>
          </w:tcPr>
          <w:p>
            <w:r>
              <w:rPr>
                <w:sz w:val="18"/>
              </w:rPr>
              <w:t>[Insolvabilité, résolution, cessation soudaine d'activité du prestataire tiers de services TIC]</w:t>
            </w:r>
          </w:p>
        </w:tc>
      </w:tr>
      <w:tr>
        <w:tc>
          <w:tcPr>
            <w:tcW w:type="dxa" w:w="3168"/>
            <w:shd w:val="clear" w:fill="EEF2F4"/>
          </w:tcPr>
          <w:p>
            <w:r>
              <w:rPr>
                <w:b/>
                <w:sz w:val="18"/>
              </w:rPr>
              <w:t>Scénario 2 — Détérioration de la qualité</w:t>
            </w:r>
          </w:p>
        </w:tc>
        <w:tc>
          <w:tcPr>
            <w:tcW w:type="dxa" w:w="6192"/>
          </w:tcPr>
          <w:p>
            <w:r>
              <w:rPr>
                <w:sz w:val="18"/>
              </w:rPr>
              <w:t>[Dégradation durable des services TIC fournis par rapport aux niveaux de service convenus]</w:t>
            </w:r>
          </w:p>
        </w:tc>
      </w:tr>
      <w:tr>
        <w:tc>
          <w:tcPr>
            <w:tcW w:type="dxa" w:w="3168"/>
            <w:shd w:val="clear" w:fill="EEF2F4"/>
          </w:tcPr>
          <w:p>
            <w:r>
              <w:rPr>
                <w:b/>
                <w:sz w:val="18"/>
              </w:rPr>
              <w:t>Scénario 3 — Perturbation de l'activité</w:t>
            </w:r>
          </w:p>
        </w:tc>
        <w:tc>
          <w:tcPr>
            <w:tcW w:type="dxa" w:w="6192"/>
          </w:tcPr>
          <w:p>
            <w:r>
              <w:rPr>
                <w:sz w:val="18"/>
              </w:rPr>
              <w:t>[Perturbation due à une fourniture inappropriée ou défaillante des services TIC]</w:t>
            </w:r>
          </w:p>
        </w:tc>
      </w:tr>
      <w:tr>
        <w:tc>
          <w:tcPr>
            <w:tcW w:type="dxa" w:w="3168"/>
            <w:shd w:val="clear" w:fill="EEF2F4"/>
          </w:tcPr>
          <w:p>
            <w:r>
              <w:rPr>
                <w:b/>
                <w:sz w:val="18"/>
              </w:rPr>
              <w:t>Scénario 4 — Risque substantiel de déploiement</w:t>
            </w:r>
          </w:p>
        </w:tc>
        <w:tc>
          <w:tcPr>
            <w:tcW w:type="dxa" w:w="6192"/>
          </w:tcPr>
          <w:p>
            <w:r>
              <w:rPr>
                <w:sz w:val="18"/>
              </w:rPr>
              <w:t>[Risque substantiel pour le déploiement approprié et continu du service TIC — p. ex. instabilité de la chaîne de sous-traitance, risque géopolitique ou d'accès juridique]</w:t>
            </w:r>
          </w:p>
        </w:tc>
      </w:tr>
      <w:tr>
        <w:tc>
          <w:tcPr>
            <w:tcW w:type="dxa" w:w="3168"/>
            <w:shd w:val="clear" w:fill="EEF2F4"/>
          </w:tcPr>
          <w:p>
            <w:r>
              <w:rPr>
                <w:b/>
                <w:sz w:val="18"/>
              </w:rPr>
              <w:t>Scénario 5 — Résiliation art. 28(7)</w:t>
            </w:r>
          </w:p>
        </w:tc>
        <w:tc>
          <w:tcPr>
            <w:tcW w:type="dxa" w:w="6192"/>
          </w:tcPr>
          <w:p>
            <w:r>
              <w:rPr>
                <w:sz w:val="18"/>
              </w:rPr>
              <w:t>[(a) manquement significatif aux lois ou au contrat ; (b) constats de surveillance susceptibles d'altérer l'exécution ; (c) faiblesses avérées dans la gestion globale du risque TIC du prestataire, y compris disponibilité, authenticité, intégrité et confidentialité des données ; (d) l'autorité compétente ne peut plus superviser efficacement l'entité]</w:t>
            </w:r>
          </w:p>
        </w:tc>
      </w:tr>
    </w:tbl>
    <w:p/>
    <w:p>
      <w:pPr>
        <w:pStyle w:val="Heading2"/>
      </w:pPr>
      <w:r>
        <w:rPr>
          <w:color w:val="0A2733"/>
        </w:rPr>
        <w:t>A.3 Méthode d'évaluation des alternatives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Échelle de cotation de la substituabilité</w:t>
            </w:r>
          </w:p>
        </w:tc>
        <w:tc>
          <w:tcPr>
            <w:tcW w:type="dxa" w:w="6192"/>
          </w:tcPr>
          <w:p>
            <w:r>
              <w:rPr>
                <w:sz w:val="18"/>
              </w:rPr>
              <w:t>[p. ex. facilement substituable / substituable avec effort / difficile / non substituable — à aligner sur vos évaluations B_07 du RoI]</w:t>
            </w:r>
          </w:p>
        </w:tc>
      </w:tr>
      <w:tr>
        <w:tc>
          <w:tcPr>
            <w:tcW w:type="dxa" w:w="3168"/>
            <w:shd w:val="clear" w:fill="EEF2F4"/>
          </w:tcPr>
          <w:p>
            <w:r>
              <w:rPr>
                <w:b/>
                <w:sz w:val="18"/>
              </w:rPr>
              <w:t>Cadence de veille du marché</w:t>
            </w:r>
          </w:p>
        </w:tc>
        <w:tc>
          <w:tcPr>
            <w:tcW w:type="dxa" w:w="6192"/>
          </w:tcPr>
          <w:p>
            <w:r>
              <w:rPr>
                <w:sz w:val="18"/>
              </w:rPr>
              <w:t>[Fréquence de réévaluation des prestataires alternatifs par catégorie de service]</w:t>
            </w:r>
          </w:p>
        </w:tc>
      </w:tr>
      <w:tr>
        <w:tc>
          <w:tcPr>
            <w:tcW w:type="dxa" w:w="3168"/>
            <w:shd w:val="clear" w:fill="EEF2F4"/>
          </w:tcPr>
          <w:p>
            <w:r>
              <w:rPr>
                <w:b/>
                <w:sz w:val="18"/>
              </w:rPr>
              <w:t>Politique d'option interne</w:t>
            </w:r>
          </w:p>
        </w:tc>
        <w:tc>
          <w:tcPr>
            <w:tcW w:type="dxa" w:w="6192"/>
          </w:tcPr>
          <w:p>
            <w:r>
              <w:rPr>
                <w:sz w:val="18"/>
              </w:rPr>
              <w:t>[Quand la réintégration en interne est considérée comme viable ; hypothèses de capacité]</w:t>
            </w:r>
          </w:p>
        </w:tc>
      </w:tr>
      <w:tr>
        <w:tc>
          <w:tcPr>
            <w:tcW w:type="dxa" w:w="3168"/>
            <w:shd w:val="clear" w:fill="EEF2F4"/>
          </w:tcPr>
          <w:p>
            <w:r>
              <w:rPr>
                <w:b/>
                <w:sz w:val="18"/>
              </w:rPr>
              <w:t>Lien avec le risque de concentration</w:t>
            </w:r>
          </w:p>
        </w:tc>
        <w:tc>
          <w:tcPr>
            <w:tcW w:type="dxa" w:w="6192"/>
          </w:tcPr>
          <w:p>
            <w:r>
              <w:rPr>
                <w:sz w:val="18"/>
              </w:rPr>
              <w:t>[Comment les dépendances multi-accords envers un prestataire ou un sous-traitant sont prises en compte]</w:t>
            </w:r>
          </w:p>
        </w:tc>
      </w:tr>
    </w:tbl>
    <w:p/>
    <w:p>
      <w:r/>
    </w:p>
    <w:p>
      <w:pPr>
        <w:pStyle w:val="Heading1"/>
      </w:pPr>
      <w:r>
        <w:rPr>
          <w:color w:val="0A2733"/>
        </w:rPr>
        <w:t>Partie B — Plan de sortie (un par accord)</w:t>
      </w:r>
    </w:p>
    <w:p>
      <w:r>
        <w:rPr>
          <w:b w:val="0"/>
          <w:i/>
          <w:sz w:val="18"/>
        </w:rPr>
        <w:t>Complétez une partie B par accord contractuel soutenant une fonction critique ou importante.</w:t>
      </w:r>
    </w:p>
    <w:p>
      <w:pPr>
        <w:pStyle w:val="Heading2"/>
      </w:pPr>
      <w:r>
        <w:rPr>
          <w:color w:val="0A2733"/>
        </w:rPr>
        <w:t>B.1 Identification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Référence de contrat (clé RoI)</w:t>
            </w:r>
          </w:p>
        </w:tc>
        <w:tc>
          <w:tcPr>
            <w:tcW w:type="dxa" w:w="6192"/>
          </w:tcPr>
          <w:p>
            <w:r>
              <w:rPr>
                <w:sz w:val="18"/>
              </w:rPr>
              <w:t>[p. ex. CTR-2024-018 — doit correspondre au registre d'informations]</w:t>
            </w:r>
          </w:p>
        </w:tc>
      </w:tr>
      <w:tr>
        <w:tc>
          <w:tcPr>
            <w:tcW w:type="dxa" w:w="3168"/>
            <w:shd w:val="clear" w:fill="EEF2F4"/>
          </w:tcPr>
          <w:p>
            <w:r>
              <w:rPr>
                <w:b/>
                <w:sz w:val="18"/>
              </w:rPr>
              <w:t>Prestataire tiers de services TIC</w:t>
            </w:r>
          </w:p>
        </w:tc>
        <w:tc>
          <w:tcPr>
            <w:tcW w:type="dxa" w:w="6192"/>
          </w:tcPr>
          <w:p>
            <w:r>
              <w:rPr>
                <w:sz w:val="18"/>
              </w:rPr>
              <w:t>[Dénomination sociale · LEI/EUID]</w:t>
            </w:r>
          </w:p>
        </w:tc>
      </w:tr>
      <w:tr>
        <w:tc>
          <w:tcPr>
            <w:tcW w:type="dxa" w:w="3168"/>
            <w:shd w:val="clear" w:fill="EEF2F4"/>
          </w:tcPr>
          <w:p>
            <w:r>
              <w:rPr>
                <w:b/>
                <w:sz w:val="18"/>
              </w:rPr>
              <w:t>Service TIC</w:t>
            </w:r>
          </w:p>
        </w:tc>
        <w:tc>
          <w:tcPr>
            <w:tcW w:type="dxa" w:w="6192"/>
          </w:tcPr>
          <w:p>
            <w:r>
              <w:rPr>
                <w:sz w:val="18"/>
              </w:rPr>
              <w:t>[Description du service + type (code de taxonomie S01–S19)]</w:t>
            </w:r>
          </w:p>
        </w:tc>
      </w:tr>
      <w:tr>
        <w:tc>
          <w:tcPr>
            <w:tcW w:type="dxa" w:w="3168"/>
            <w:shd w:val="clear" w:fill="EEF2F4"/>
          </w:tcPr>
          <w:p>
            <w:r>
              <w:rPr>
                <w:b/>
                <w:sz w:val="18"/>
              </w:rPr>
              <w:t>Fonction critique/importante soutenue</w:t>
            </w:r>
          </w:p>
        </w:tc>
        <w:tc>
          <w:tcPr>
            <w:tcW w:type="dxa" w:w="6192"/>
          </w:tcPr>
          <w:p>
            <w:r>
              <w:rPr>
                <w:sz w:val="18"/>
              </w:rPr>
              <w:t>[Nom de la fonction + référence du raisonnement de criticité art. 3(22)]</w:t>
            </w:r>
          </w:p>
        </w:tc>
      </w:tr>
      <w:tr>
        <w:tc>
          <w:tcPr>
            <w:tcW w:type="dxa" w:w="3168"/>
            <w:shd w:val="clear" w:fill="EEF2F4"/>
          </w:tcPr>
          <w:p>
            <w:r>
              <w:rPr>
                <w:b/>
                <w:sz w:val="18"/>
              </w:rPr>
              <w:t>Propriétaire du plan</w:t>
            </w:r>
          </w:p>
        </w:tc>
        <w:tc>
          <w:tcPr>
            <w:tcW w:type="dxa" w:w="6192"/>
          </w:tcPr>
          <w:p>
            <w:r>
              <w:rPr>
                <w:sz w:val="18"/>
              </w:rPr>
              <w:t>[Rôle]</w:t>
            </w:r>
          </w:p>
        </w:tc>
      </w:tr>
      <w:tr>
        <w:tc>
          <w:tcPr>
            <w:tcW w:type="dxa" w:w="3168"/>
            <w:shd w:val="clear" w:fill="EEF2F4"/>
          </w:tcPr>
          <w:p>
            <w:r>
              <w:rPr>
                <w:b/>
                <w:sz w:val="18"/>
              </w:rPr>
              <w:t>Décideur de l'activation</w:t>
            </w:r>
          </w:p>
        </w:tc>
        <w:tc>
          <w:tcPr>
            <w:tcW w:type="dxa" w:w="6192"/>
          </w:tcPr>
          <w:p>
            <w:r>
              <w:rPr>
                <w:sz w:val="18"/>
              </w:rPr>
              <w:t>[Rôle / comité habilité à déclencher la sortie]</w:t>
            </w:r>
          </w:p>
        </w:tc>
      </w:tr>
      <w:tr>
        <w:tc>
          <w:tcPr>
            <w:tcW w:type="dxa" w:w="3168"/>
            <w:shd w:val="clear" w:fill="EEF2F4"/>
          </w:tcPr>
          <w:p>
            <w:r>
              <w:rPr>
                <w:b/>
                <w:sz w:val="18"/>
              </w:rPr>
              <w:t>Version · date du plan</w:t>
            </w:r>
          </w:p>
        </w:tc>
        <w:tc>
          <w:tcPr>
            <w:tcW w:type="dxa" w:w="6192"/>
          </w:tcPr>
          <w:p>
            <w:r>
              <w:rPr>
                <w:sz w:val="18"/>
              </w:rPr>
              <w:t>[v · AAAA-MM-JJ]</w:t>
            </w:r>
          </w:p>
        </w:tc>
      </w:tr>
    </w:tbl>
    <w:p/>
    <w:p>
      <w:pPr>
        <w:pStyle w:val="Heading2"/>
      </w:pPr>
      <w:r>
        <w:rPr>
          <w:color w:val="0A2733"/>
        </w:rPr>
        <w:t>B.2 Déclencheurs de sortie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Déclencheurs planifiés (hors contrainte)</w:t>
            </w:r>
          </w:p>
        </w:tc>
        <w:tc>
          <w:tcPr>
            <w:tcW w:type="dxa" w:w="6192"/>
          </w:tcPr>
          <w:p>
            <w:r>
              <w:rPr>
                <w:sz w:val="18"/>
              </w:rPr>
              <w:t>[Échec de renégociation commerciale, réinternalisation stratégique, changement de stratégie du prestataire, fin de contrat …]</w:t>
            </w:r>
          </w:p>
        </w:tc>
      </w:tr>
      <w:tr>
        <w:tc>
          <w:tcPr>
            <w:tcW w:type="dxa" w:w="3168"/>
            <w:shd w:val="clear" w:fill="EEF2F4"/>
          </w:tcPr>
          <w:p>
            <w:r>
              <w:rPr>
                <w:b/>
                <w:sz w:val="18"/>
              </w:rPr>
              <w:t>Déclencheurs sous contrainte</w:t>
            </w:r>
          </w:p>
        </w:tc>
        <w:tc>
          <w:tcPr>
            <w:tcW w:type="dxa" w:w="6192"/>
          </w:tcPr>
          <w:p>
            <w:r>
              <w:rPr>
                <w:sz w:val="18"/>
              </w:rPr>
              <w:t>[Insolvabilité/défaillance du prestataire ; art. 28(7)(a) manquement significatif ; 28(7)(b) constats de surveillance ; 28(7)(c) faiblesses avérées du risque TIC ; 28(7)(d) supervisabilité ; recommandation de l'autorité de supervision d'un CTPP]</w:t>
            </w:r>
          </w:p>
        </w:tc>
      </w:tr>
      <w:tr>
        <w:tc>
          <w:tcPr>
            <w:tcW w:type="dxa" w:w="3168"/>
            <w:shd w:val="clear" w:fill="EEF2F4"/>
          </w:tcPr>
          <w:p>
            <w:r>
              <w:rPr>
                <w:b/>
                <w:sz w:val="18"/>
              </w:rPr>
              <w:t>Indicateurs de déclenchement / KRI</w:t>
            </w:r>
          </w:p>
        </w:tc>
        <w:tc>
          <w:tcPr>
            <w:tcW w:type="dxa" w:w="6192"/>
          </w:tcPr>
          <w:p>
            <w:r>
              <w:rPr>
                <w:sz w:val="18"/>
              </w:rPr>
              <w:t>[Les signaux de surveillance qui font remonter chaque déclencheur — nombre de manquements aux SLA, fréquence des incidents, signaux de santé financière]</w:t>
            </w:r>
          </w:p>
        </w:tc>
      </w:tr>
    </w:tbl>
    <w:p/>
    <w:p>
      <w:pPr>
        <w:pStyle w:val="Heading2"/>
      </w:pPr>
      <w:r>
        <w:rPr>
          <w:color w:val="0A2733"/>
        </w:rPr>
        <w:t>B.3 Solution alternative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Prestataire(s) alternatif(s) évalué(s)</w:t>
            </w:r>
          </w:p>
        </w:tc>
        <w:tc>
          <w:tcPr>
            <w:tcW w:type="dxa" w:w="6192"/>
          </w:tcPr>
          <w:p>
            <w:r>
              <w:rPr>
                <w:sz w:val="18"/>
              </w:rPr>
              <w:t>[Noms + date d'évaluation + résultat]</w:t>
            </w:r>
          </w:p>
        </w:tc>
      </w:tr>
      <w:tr>
        <w:tc>
          <w:tcPr>
            <w:tcW w:type="dxa" w:w="3168"/>
            <w:shd w:val="clear" w:fill="EEF2F4"/>
          </w:tcPr>
          <w:p>
            <w:r>
              <w:rPr>
                <w:b/>
                <w:sz w:val="18"/>
              </w:rPr>
              <w:t>Option interne</w:t>
            </w:r>
          </w:p>
        </w:tc>
        <w:tc>
          <w:tcPr>
            <w:tcW w:type="dxa" w:w="6192"/>
          </w:tcPr>
          <w:p>
            <w:r>
              <w:rPr>
                <w:sz w:val="18"/>
              </w:rPr>
              <w:t>[Faisable ? Capacité, calendrier, coût]</w:t>
            </w:r>
          </w:p>
        </w:tc>
      </w:tr>
      <w:tr>
        <w:tc>
          <w:tcPr>
            <w:tcW w:type="dxa" w:w="3168"/>
            <w:shd w:val="clear" w:fill="EEF2F4"/>
          </w:tcPr>
          <w:p>
            <w:r>
              <w:rPr>
                <w:b/>
                <w:sz w:val="18"/>
              </w:rPr>
              <w:t>Voie de sortie retenue</w:t>
            </w:r>
          </w:p>
        </w:tc>
        <w:tc>
          <w:tcPr>
            <w:tcW w:type="dxa" w:w="6192"/>
          </w:tcPr>
          <w:p>
            <w:r>
              <w:rPr>
                <w:sz w:val="18"/>
              </w:rPr>
              <w:t>[Prestataire alternatif X / interne / hybride]</w:t>
            </w:r>
          </w:p>
        </w:tc>
      </w:tr>
      <w:tr>
        <w:tc>
          <w:tcPr>
            <w:tcW w:type="dxa" w:w="3168"/>
            <w:shd w:val="clear" w:fill="EEF2F4"/>
          </w:tcPr>
          <w:p>
            <w:r>
              <w:rPr>
                <w:b/>
                <w:sz w:val="18"/>
              </w:rPr>
              <w:t>Cotation de substituabilité</w:t>
            </w:r>
          </w:p>
        </w:tc>
        <w:tc>
          <w:tcPr>
            <w:tcW w:type="dxa" w:w="6192"/>
          </w:tcPr>
          <w:p>
            <w:r>
              <w:rPr>
                <w:sz w:val="18"/>
              </w:rPr>
              <w:t>[Selon l'échelle A.3]</w:t>
            </w:r>
          </w:p>
        </w:tc>
      </w:tr>
    </w:tbl>
    <w:p/>
    <w:p>
      <w:pPr>
        <w:pStyle w:val="Heading2"/>
      </w:pPr>
      <w:r>
        <w:rPr>
          <w:color w:val="0A2733"/>
        </w:rPr>
        <w:t>B.4 Plan de transition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Phases &amp; calendrier</w:t>
            </w:r>
          </w:p>
        </w:tc>
        <w:tc>
          <w:tcPr>
            <w:tcW w:type="dxa" w:w="6192"/>
          </w:tcPr>
          <w:p>
            <w:r>
              <w:rPr>
                <w:sz w:val="18"/>
              </w:rPr>
              <w:t>[Phase 1 préparation (…sem.) → Phase 2 migration des données (…sem.) → Phase 3 fonctionnement en parallèle (…sem.) → Phase 4 bascule → Phase 5 décommissionnement &amp; suppression des données]</w:t>
            </w:r>
          </w:p>
        </w:tc>
      </w:tr>
      <w:tr>
        <w:tc>
          <w:tcPr>
            <w:tcW w:type="dxa" w:w="3168"/>
            <w:shd w:val="clear" w:fill="EEF2F4"/>
          </w:tcPr>
          <w:p>
            <w:r>
              <w:rPr>
                <w:b/>
                <w:sz w:val="18"/>
              </w:rPr>
              <w:t>Inventaire des données &amp; format de restitution</w:t>
            </w:r>
          </w:p>
        </w:tc>
        <w:tc>
          <w:tcPr>
            <w:tcW w:type="dxa" w:w="6192"/>
          </w:tcPr>
          <w:p>
            <w:r>
              <w:rPr>
                <w:sz w:val="18"/>
              </w:rPr>
              <w:t>[Jeux de données détenus par le prestataire ; format(s) d'export convenus ; volume]</w:t>
            </w:r>
          </w:p>
        </w:tc>
      </w:tr>
      <w:tr>
        <w:tc>
          <w:tcPr>
            <w:tcW w:type="dxa" w:w="3168"/>
            <w:shd w:val="clear" w:fill="EEF2F4"/>
          </w:tcPr>
          <w:p>
            <w:r>
              <w:rPr>
                <w:b/>
                <w:sz w:val="18"/>
              </w:rPr>
              <w:t>Méthode de transfert sécurisé</w:t>
            </w:r>
          </w:p>
        </w:tc>
        <w:tc>
          <w:tcPr>
            <w:tcW w:type="dxa" w:w="6192"/>
          </w:tcPr>
          <w:p>
            <w:r>
              <w:rPr>
                <w:sz w:val="18"/>
              </w:rPr>
              <w:t>[Mécanisme, chiffrement en transit, vérification d'intégrité des données transférées]</w:t>
            </w:r>
          </w:p>
        </w:tc>
      </w:tr>
      <w:tr>
        <w:tc>
          <w:tcPr>
            <w:tcW w:type="dxa" w:w="3168"/>
            <w:shd w:val="clear" w:fill="EEF2F4"/>
          </w:tcPr>
          <w:p>
            <w:r>
              <w:rPr>
                <w:b/>
                <w:sz w:val="18"/>
              </w:rPr>
              <w:t>Fenêtre de fonctionnement en parallèle</w:t>
            </w:r>
          </w:p>
        </w:tc>
        <w:tc>
          <w:tcPr>
            <w:tcW w:type="dxa" w:w="6192"/>
          </w:tcPr>
          <w:p>
            <w:r>
              <w:rPr>
                <w:sz w:val="18"/>
              </w:rPr>
              <w:t>[Durée + critères de succès]</w:t>
            </w:r>
          </w:p>
        </w:tc>
      </w:tr>
      <w:tr>
        <w:tc>
          <w:tcPr>
            <w:tcW w:type="dxa" w:w="3168"/>
            <w:shd w:val="clear" w:fill="EEF2F4"/>
          </w:tcPr>
          <w:p>
            <w:r>
              <w:rPr>
                <w:b/>
                <w:sz w:val="18"/>
              </w:rPr>
              <w:t>Critères de retour arrière</w:t>
            </w:r>
          </w:p>
        </w:tc>
        <w:tc>
          <w:tcPr>
            <w:tcW w:type="dxa" w:w="6192"/>
          </w:tcPr>
          <w:p>
            <w:r>
              <w:rPr>
                <w:sz w:val="18"/>
              </w:rPr>
              <w:t>[Conditions dans lesquelles la bascule est annulée]</w:t>
            </w:r>
          </w:p>
        </w:tc>
      </w:tr>
      <w:tr>
        <w:tc>
          <w:tcPr>
            <w:tcW w:type="dxa" w:w="3168"/>
            <w:shd w:val="clear" w:fill="EEF2F4"/>
          </w:tcPr>
          <w:p>
            <w:r>
              <w:rPr>
                <w:b/>
                <w:sz w:val="18"/>
              </w:rPr>
              <w:t>Vérification &amp; clôture</w:t>
            </w:r>
          </w:p>
        </w:tc>
        <w:tc>
          <w:tcPr>
            <w:tcW w:type="dxa" w:w="6192"/>
          </w:tcPr>
          <w:p>
            <w:r>
              <w:rPr>
                <w:sz w:val="18"/>
              </w:rPr>
              <w:t>[Confirmation de suppression des données par le prestataire ; révocation des accès ; mise à jour du RoI]</w:t>
            </w:r>
          </w:p>
        </w:tc>
      </w:tr>
    </w:tbl>
    <w:p/>
    <w:p>
      <w:pPr>
        <w:pStyle w:val="Heading2"/>
      </w:pPr>
      <w:r>
        <w:rPr>
          <w:color w:val="0A2733"/>
        </w:rPr>
        <w:t>B.5 Ancrages contractuels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Période de transition (art. 30(3)(f))</w:t>
            </w:r>
          </w:p>
        </w:tc>
        <w:tc>
          <w:tcPr>
            <w:tcW w:type="dxa" w:w="6192"/>
          </w:tcPr>
          <w:p>
            <w:r>
              <w:rPr>
                <w:sz w:val="18"/>
              </w:rPr>
              <w:t>[Période de transition adéquate obligatoire convenue au contrat — le calendrier du plan DOIT tenir dedans]</w:t>
            </w:r>
          </w:p>
        </w:tc>
      </w:tr>
      <w:tr>
        <w:tc>
          <w:tcPr>
            <w:tcW w:type="dxa" w:w="3168"/>
            <w:shd w:val="clear" w:fill="EEF2F4"/>
          </w:tcPr>
          <w:p>
            <w:r>
              <w:rPr>
                <w:b/>
                <w:sz w:val="18"/>
              </w:rPr>
              <w:t>Préavis de résiliation</w:t>
            </w:r>
          </w:p>
        </w:tc>
        <w:tc>
          <w:tcPr>
            <w:tcW w:type="dxa" w:w="6192"/>
          </w:tcPr>
          <w:p>
            <w:r>
              <w:rPr>
                <w:sz w:val="18"/>
              </w:rPr>
              <w:t>[Entité : … jours · Prestataire : … jours]</w:t>
            </w:r>
          </w:p>
        </w:tc>
      </w:tr>
      <w:tr>
        <w:tc>
          <w:tcPr>
            <w:tcW w:type="dxa" w:w="3168"/>
            <w:shd w:val="clear" w:fill="EEF2F4"/>
          </w:tcPr>
          <w:p>
            <w:r>
              <w:rPr>
                <w:b/>
                <w:sz w:val="18"/>
              </w:rPr>
              <w:t>Clauses de restitution et de suppression des données</w:t>
            </w:r>
          </w:p>
        </w:tc>
        <w:tc>
          <w:tcPr>
            <w:tcW w:type="dxa" w:w="6192"/>
          </w:tcPr>
          <w:p>
            <w:r>
              <w:rPr>
                <w:sz w:val="18"/>
              </w:rPr>
              <w:t>[Références des clauses + formats garantis]</w:t>
            </w:r>
          </w:p>
        </w:tc>
      </w:tr>
      <w:tr>
        <w:tc>
          <w:tcPr>
            <w:tcW w:type="dxa" w:w="3168"/>
            <w:shd w:val="clear" w:fill="EEF2F4"/>
          </w:tcPr>
          <w:p>
            <w:r>
              <w:rPr>
                <w:b/>
                <w:sz w:val="18"/>
              </w:rPr>
              <w:t>Assistance à la transition</w:t>
            </w:r>
          </w:p>
        </w:tc>
        <w:tc>
          <w:tcPr>
            <w:tcW w:type="dxa" w:w="6192"/>
          </w:tcPr>
          <w:p>
            <w:r>
              <w:rPr>
                <w:sz w:val="18"/>
              </w:rPr>
              <w:t>[Obligations du prestataire de soutenir la migration, coûts inclus]</w:t>
            </w:r>
          </w:p>
        </w:tc>
      </w:tr>
      <w:tr>
        <w:tc>
          <w:tcPr>
            <w:tcW w:type="dxa" w:w="3168"/>
            <w:shd w:val="clear" w:fill="EEF2F4"/>
          </w:tcPr>
          <w:p>
            <w:r>
              <w:rPr>
                <w:b/>
                <w:sz w:val="18"/>
              </w:rPr>
              <w:t>Contrôle d'adéquation du calendrier</w:t>
            </w:r>
          </w:p>
        </w:tc>
        <w:tc>
          <w:tcPr>
            <w:tcW w:type="dxa" w:w="6192"/>
          </w:tcPr>
          <w:p>
            <w:r>
              <w:rPr>
                <w:sz w:val="18"/>
              </w:rPr>
              <w:t>[Le calendrier B.4 tient-il dans la période de transition ? OUI / NON — si NON, chantier de remédiation contractuelle]</w:t>
            </w:r>
          </w:p>
        </w:tc>
      </w:tr>
    </w:tbl>
    <w:p/>
    <w:p>
      <w:pPr>
        <w:pStyle w:val="Heading2"/>
      </w:pPr>
      <w:r>
        <w:rPr>
          <w:color w:val="0A2733"/>
        </w:rPr>
        <w:t>B.6 Mesures de contingence</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Mesures provisoires de continuité</w:t>
            </w:r>
          </w:p>
        </w:tc>
        <w:tc>
          <w:tcPr>
            <w:tcW w:type="dxa" w:w="6192"/>
          </w:tcPr>
          <w:p>
            <w:r>
              <w:rPr>
                <w:sz w:val="18"/>
              </w:rPr>
              <w:t>[Comment la fonction continue de tourner pendant la sortie — procédures en mode dégradé, capacité temporaire, contournements manuels (art. 28(8), dernier alinéa)]</w:t>
            </w:r>
          </w:p>
        </w:tc>
      </w:tr>
      <w:tr>
        <w:tc>
          <w:tcPr>
            <w:tcW w:type="dxa" w:w="3168"/>
            <w:shd w:val="clear" w:fill="EEF2F4"/>
          </w:tcPr>
          <w:p>
            <w:r>
              <w:rPr>
                <w:b/>
                <w:sz w:val="18"/>
              </w:rPr>
              <w:t>Atténuation de l'impact client</w:t>
            </w:r>
          </w:p>
        </w:tc>
        <w:tc>
          <w:tcPr>
            <w:tcW w:type="dxa" w:w="6192"/>
          </w:tcPr>
          <w:p>
            <w:r>
              <w:rPr>
                <w:sz w:val="18"/>
              </w:rPr>
              <w:t>[Comment la continuité et la qualité des services aux clients sont protégées pendant la transition]</w:t>
            </w:r>
          </w:p>
        </w:tc>
      </w:tr>
      <w:tr>
        <w:tc>
          <w:tcPr>
            <w:tcW w:type="dxa" w:w="3168"/>
            <w:shd w:val="clear" w:fill="EEF2F4"/>
          </w:tcPr>
          <w:p>
            <w:r>
              <w:rPr>
                <w:b/>
                <w:sz w:val="18"/>
              </w:rPr>
              <w:t>Garanties de conformité réglementaire</w:t>
            </w:r>
          </w:p>
        </w:tc>
        <w:tc>
          <w:tcPr>
            <w:tcW w:type="dxa" w:w="6192"/>
          </w:tcPr>
          <w:p>
            <w:r>
              <w:rPr>
                <w:sz w:val="18"/>
              </w:rPr>
              <w:t>[Obligations de reporting, continuité de la protection des données, conservation des enregistrements pendant la migration]</w:t>
            </w:r>
          </w:p>
        </w:tc>
      </w:tr>
    </w:tbl>
    <w:p/>
    <w:p>
      <w:pPr>
        <w:pStyle w:val="Heading2"/>
      </w:pPr>
      <w:r>
        <w:rPr>
          <w:color w:val="0A2733"/>
        </w:rPr>
        <w:t>B.7 Coûts &amp; ressources</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Estimation du coût de sortie</w:t>
            </w:r>
          </w:p>
        </w:tc>
        <w:tc>
          <w:tcPr>
            <w:tcW w:type="dxa" w:w="6192"/>
          </w:tcPr>
          <w:p>
            <w:r>
              <w:rPr>
                <w:sz w:val="18"/>
              </w:rPr>
              <w:t>[Coût unique de migration + frais d'assistance à la transition du prestataire]</w:t>
            </w:r>
          </w:p>
        </w:tc>
      </w:tr>
      <w:tr>
        <w:tc>
          <w:tcPr>
            <w:tcW w:type="dxa" w:w="3168"/>
            <w:shd w:val="clear" w:fill="EEF2F4"/>
          </w:tcPr>
          <w:p>
            <w:r>
              <w:rPr>
                <w:b/>
                <w:sz w:val="18"/>
              </w:rPr>
              <w:t>Ressources internes</w:t>
            </w:r>
          </w:p>
        </w:tc>
        <w:tc>
          <w:tcPr>
            <w:tcW w:type="dxa" w:w="6192"/>
          </w:tcPr>
          <w:p>
            <w:r>
              <w:rPr>
                <w:sz w:val="18"/>
              </w:rPr>
              <w:t>[Équipes, semaines-ETP, dépendances aux personnes clés]</w:t>
            </w:r>
          </w:p>
        </w:tc>
      </w:tr>
      <w:tr>
        <w:tc>
          <w:tcPr>
            <w:tcW w:type="dxa" w:w="3168"/>
            <w:shd w:val="clear" w:fill="EEF2F4"/>
          </w:tcPr>
          <w:p>
            <w:r>
              <w:rPr>
                <w:b/>
                <w:sz w:val="18"/>
              </w:rPr>
              <w:t>Contraintes de calendrier</w:t>
            </w:r>
          </w:p>
        </w:tc>
        <w:tc>
          <w:tcPr>
            <w:tcW w:type="dxa" w:w="6192"/>
          </w:tcPr>
          <w:p>
            <w:r>
              <w:rPr>
                <w:sz w:val="18"/>
              </w:rPr>
              <w:t>[Périodes de gel, fenêtres de reporting réglementaire, pics saisonniers]</w:t>
            </w:r>
          </w:p>
        </w:tc>
      </w:tr>
    </w:tbl>
    <w:p/>
    <w:p>
      <w:r/>
    </w:p>
    <w:p>
      <w:pPr>
        <w:pStyle w:val="Heading1"/>
      </w:pPr>
      <w:r>
        <w:rPr>
          <w:color w:val="0A2733"/>
        </w:rPr>
        <w:t>Partie C — Journal de tests et de revues du plan de sortie</w:t>
      </w:r>
    </w:p>
    <w:p>
      <w:r>
        <w:rPr>
          <w:b w:val="0"/>
          <w:i/>
          <w:sz w:val="18"/>
        </w:rPr>
        <w:t>Art. 28(8) : les plans doivent être suffisamment testés et revus périodiquement. RTS (UE) 2024/1773, art. 10 : les tests doivent prendre en compte les interruptions de service imprévues et persistantes ; les plans doivent être réalistes, réalisables, fondés sur des scénarios plausibles et des hypothèses raisonnables.</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shd w:val="clear" w:fill="0A2733"/>
          </w:tcPr>
          <w:p>
            <w:r>
              <w:rPr>
                <w:b/>
                <w:color w:val="FFFFFF"/>
                <w:sz w:val="16"/>
              </w:rPr>
              <w:t>Date</w:t>
            </w:r>
          </w:p>
        </w:tc>
        <w:tc>
          <w:tcPr>
            <w:tcW w:type="dxa" w:w="1234"/>
            <w:shd w:val="clear" w:fill="0A2733"/>
          </w:tcPr>
          <w:p>
            <w:r>
              <w:rPr>
                <w:b/>
                <w:color w:val="FFFFFF"/>
                <w:sz w:val="16"/>
              </w:rPr>
              <w:t>Réf. de contrat</w:t>
            </w:r>
          </w:p>
        </w:tc>
        <w:tc>
          <w:tcPr>
            <w:tcW w:type="dxa" w:w="1234"/>
            <w:shd w:val="clear" w:fill="0A2733"/>
          </w:tcPr>
          <w:p>
            <w:r>
              <w:rPr>
                <w:b/>
                <w:color w:val="FFFFFF"/>
                <w:sz w:val="16"/>
              </w:rPr>
              <w:t>Scénario testé</w:t>
            </w:r>
          </w:p>
        </w:tc>
        <w:tc>
          <w:tcPr>
            <w:tcW w:type="dxa" w:w="1234"/>
            <w:shd w:val="clear" w:fill="0A2733"/>
          </w:tcPr>
          <w:p>
            <w:r>
              <w:rPr>
                <w:b/>
                <w:color w:val="FFFFFF"/>
                <w:sz w:val="16"/>
              </w:rPr>
              <w:t>Type de test</w:t>
            </w:r>
          </w:p>
        </w:tc>
        <w:tc>
          <w:tcPr>
            <w:tcW w:type="dxa" w:w="1234"/>
            <w:shd w:val="clear" w:fill="0A2733"/>
          </w:tcPr>
          <w:p>
            <w:r>
              <w:rPr>
                <w:b/>
                <w:color w:val="FFFFFF"/>
                <w:sz w:val="16"/>
              </w:rPr>
              <w:t>Participants</w:t>
            </w:r>
          </w:p>
        </w:tc>
        <w:tc>
          <w:tcPr>
            <w:tcW w:type="dxa" w:w="1234"/>
            <w:shd w:val="clear" w:fill="0A2733"/>
          </w:tcPr>
          <w:p>
            <w:r>
              <w:rPr>
                <w:b/>
                <w:color w:val="FFFFFF"/>
                <w:sz w:val="16"/>
              </w:rPr>
              <w:t>Constats</w:t>
            </w:r>
          </w:p>
        </w:tc>
        <w:tc>
          <w:tcPr>
            <w:tcW w:type="dxa" w:w="1234"/>
            <w:shd w:val="clear" w:fill="0A2733"/>
          </w:tcPr>
          <w:p>
            <w:r>
              <w:rPr>
                <w:b/>
                <w:color w:val="FFFFFF"/>
                <w:sz w:val="16"/>
              </w:rPr>
              <w:t>Remédiation · prochain test</w:t>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r>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c>
          <w:tcPr>
            <w:tcW w:type="dxa" w:w="1234"/>
          </w:tcPr>
          <w:p>
            <w:r/>
          </w:p>
        </w:tc>
      </w:tr>
    </w:tbl>
    <w:p>
      <w:r>
        <w:rPr>
          <w:b w:val="0"/>
          <w:i w:val="0"/>
          <w:sz w:val="16"/>
        </w:rPr>
      </w:r>
    </w:p>
    <w:p>
      <w:r>
        <w:rPr>
          <w:b w:val="0"/>
          <w:i/>
          <w:sz w:val="16"/>
        </w:rPr>
        <w:t>Types de test : exercice sur table / walkthrough · test d'extraction partielle de données · vérification de restauration/import · simulation complète. Le jeu de scénarios doit inclure au moins un cas d'interruption imprévue et un cas d'interruption persistante.</w:t>
      </w:r>
    </w:p>
    <w:p>
      <w:r/>
    </w:p>
    <w:p>
      <w:pPr>
        <w:pStyle w:val="Heading1"/>
      </w:pPr>
      <w:r>
        <w:rPr>
          <w:color w:val="0A2733"/>
        </w:rPr>
        <w:t>Partie D — Runbook d'activation (squelette)</w:t>
      </w:r>
    </w:p>
    <w:tbl>
      <w:tblPr>
        <w:tblStyle w:val="TableGrid"/>
        <w:tblW w:type="auto" w:w="0"/>
        <w:jc w:val="left"/>
        <w:tblLook w:firstColumn="1" w:firstRow="1" w:lastColumn="0" w:lastRow="0" w:noHBand="0" w:noVBand="1" w:val="04A0"/>
      </w:tblPr>
      <w:tblGrid>
        <w:gridCol w:w="4320"/>
        <w:gridCol w:w="4320"/>
      </w:tblGrid>
      <w:tr>
        <w:tc>
          <w:tcPr>
            <w:tcW w:type="dxa" w:w="1728"/>
            <w:shd w:val="clear" w:fill="EEF2F4"/>
          </w:tcPr>
          <w:p>
            <w:r>
              <w:rPr>
                <w:b/>
                <w:sz w:val="18"/>
              </w:rPr>
              <w:t>1. Déclarer</w:t>
            </w:r>
          </w:p>
        </w:tc>
        <w:tc>
          <w:tcPr>
            <w:tcW w:type="dxa" w:w="7632"/>
          </w:tcPr>
          <w:p>
            <w:r>
              <w:rPr>
                <w:sz w:val="18"/>
              </w:rPr>
              <w:t>Le décideur de l'activation confirme le déclencheur et déclare la sortie (planifiée ou sous contrainte) ; consigner la décision + l'heure.</w:t>
            </w:r>
          </w:p>
        </w:tc>
      </w:tr>
      <w:tr>
        <w:tc>
          <w:tcPr>
            <w:tcW w:type="dxa" w:w="1728"/>
            <w:shd w:val="clear" w:fill="EEF2F4"/>
          </w:tcPr>
          <w:p>
            <w:r>
              <w:rPr>
                <w:b/>
                <w:sz w:val="18"/>
              </w:rPr>
              <w:t>2. Notifier</w:t>
            </w:r>
          </w:p>
        </w:tc>
        <w:tc>
          <w:tcPr>
            <w:tcW w:type="dxa" w:w="7632"/>
          </w:tcPr>
          <w:p>
            <w:r>
              <w:rPr>
                <w:sz w:val="18"/>
              </w:rPr>
              <w:t>Parties prenantes internes ; le prestataire (selon le préavis contractuel) ; l'autorité compétente le cas échéant ; les clients concernés selon le plan de communication client.</w:t>
            </w:r>
          </w:p>
        </w:tc>
      </w:tr>
      <w:tr>
        <w:tc>
          <w:tcPr>
            <w:tcW w:type="dxa" w:w="1728"/>
            <w:shd w:val="clear" w:fill="EEF2F4"/>
          </w:tcPr>
          <w:p>
            <w:r>
              <w:rPr>
                <w:b/>
                <w:sz w:val="18"/>
              </w:rPr>
              <w:t>3. Geler</w:t>
            </w:r>
          </w:p>
        </w:tc>
        <w:tc>
          <w:tcPr>
            <w:tcW w:type="dxa" w:w="7632"/>
          </w:tcPr>
          <w:p>
            <w:r>
              <w:rPr>
                <w:sz w:val="18"/>
              </w:rPr>
              <w:t>Geler les changements de périmètre sur l'accord ; sécuriser un instantané des données actuelles ; revalider l'inventaire des données.</w:t>
            </w:r>
          </w:p>
        </w:tc>
      </w:tr>
      <w:tr>
        <w:tc>
          <w:tcPr>
            <w:tcW w:type="dxa" w:w="1728"/>
            <w:shd w:val="clear" w:fill="EEF2F4"/>
          </w:tcPr>
          <w:p>
            <w:r>
              <w:rPr>
                <w:b/>
                <w:sz w:val="18"/>
              </w:rPr>
              <w:t>4. Exécuter</w:t>
            </w:r>
          </w:p>
        </w:tc>
        <w:tc>
          <w:tcPr>
            <w:tcW w:type="dxa" w:w="7632"/>
          </w:tcPr>
          <w:p>
            <w:r>
              <w:rPr>
                <w:sz w:val="18"/>
              </w:rPr>
              <w:t>Dérouler les phases de transition B.4 ; suivre l'avancement par rapport à la période de transition de l'art. 30(3)(f) ; activer les mesures de contingence B.6 si nécessaire.</w:t>
            </w:r>
          </w:p>
        </w:tc>
      </w:tr>
      <w:tr>
        <w:tc>
          <w:tcPr>
            <w:tcW w:type="dxa" w:w="1728"/>
            <w:shd w:val="clear" w:fill="EEF2F4"/>
          </w:tcPr>
          <w:p>
            <w:r>
              <w:rPr>
                <w:b/>
                <w:sz w:val="18"/>
              </w:rPr>
              <w:t>5. Vérifier</w:t>
            </w:r>
          </w:p>
        </w:tc>
        <w:tc>
          <w:tcPr>
            <w:tcW w:type="dxa" w:w="7632"/>
          </w:tcPr>
          <w:p>
            <w:r>
              <w:rPr>
                <w:sz w:val="18"/>
              </w:rPr>
              <w:t>Confirmer la restitution des données au format convenu ; vérifier l'intégrité ; obtenir la confirmation de suppression du prestataire ; révoquer les accès.</w:t>
            </w:r>
          </w:p>
        </w:tc>
      </w:tr>
      <w:tr>
        <w:tc>
          <w:tcPr>
            <w:tcW w:type="dxa" w:w="1728"/>
            <w:shd w:val="clear" w:fill="EEF2F4"/>
          </w:tcPr>
          <w:p>
            <w:r>
              <w:rPr>
                <w:b/>
                <w:sz w:val="18"/>
              </w:rPr>
              <w:t>6. Clôturer</w:t>
            </w:r>
          </w:p>
        </w:tc>
        <w:tc>
          <w:tcPr>
            <w:tcW w:type="dxa" w:w="7632"/>
          </w:tcPr>
          <w:p>
            <w:r>
              <w:rPr>
                <w:sz w:val="18"/>
              </w:rPr>
              <w:t>Mettre à jour le registre d'informations ; revue post-sortie ; réinjecter les enseignements dans la partie A et les autres plans de la partie B.</w:t>
            </w:r>
          </w:p>
        </w:tc>
      </w:tr>
    </w:tbl>
    <w:p/>
    <w:p>
      <w:r/>
    </w:p>
    <w:p>
      <w:pPr>
        <w:pStyle w:val="Heading1"/>
      </w:pPr>
      <w:r>
        <w:rPr>
          <w:color w:val="0A2733"/>
        </w:rPr>
        <w:t>Partie E — Exemple complété (fictif)</w:t>
      </w:r>
    </w:p>
    <w:p>
      <w:r>
        <w:rPr>
          <w:b w:val="0"/>
          <w:i/>
          <w:sz w:val="18"/>
        </w:rPr>
        <w:t>Nordbank SE (fictive) sortant de CloudCore GmbH (fictive) — cohérent avec l'univers d'exemple de notre modèle de registre d'informations DORA et de notre checklist de preuves pour prestataires TIC.</w:t>
      </w:r>
    </w:p>
    <w:p>
      <w:pPr>
        <w:pStyle w:val="Heading2"/>
      </w:pPr>
      <w:r>
        <w:rPr>
          <w:color w:val="0A2733"/>
        </w:rPr>
        <w:t>E.1 Identification</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Référence de contrat (clé RoI)</w:t>
            </w:r>
          </w:p>
        </w:tc>
        <w:tc>
          <w:tcPr>
            <w:tcW w:type="dxa" w:w="6192"/>
          </w:tcPr>
          <w:p>
            <w:r>
              <w:rPr>
                <w:sz w:val="18"/>
              </w:rPr>
              <w:t>CTR-2024-018</w:t>
            </w:r>
          </w:p>
        </w:tc>
      </w:tr>
      <w:tr>
        <w:tc>
          <w:tcPr>
            <w:tcW w:type="dxa" w:w="3168"/>
            <w:shd w:val="clear" w:fill="EEF2F4"/>
          </w:tcPr>
          <w:p>
            <w:r>
              <w:rPr>
                <w:b/>
                <w:sz w:val="18"/>
              </w:rPr>
              <w:t>Prestataire tiers de services TIC</w:t>
            </w:r>
          </w:p>
        </w:tc>
        <w:tc>
          <w:tcPr>
            <w:tcW w:type="dxa" w:w="6192"/>
          </w:tcPr>
          <w:p>
            <w:r>
              <w:rPr>
                <w:sz w:val="18"/>
              </w:rPr>
              <w:t>CloudCore GmbH · LEI 529900EXAMPLE0000018</w:t>
            </w:r>
          </w:p>
        </w:tc>
      </w:tr>
      <w:tr>
        <w:tc>
          <w:tcPr>
            <w:tcW w:type="dxa" w:w="3168"/>
            <w:shd w:val="clear" w:fill="EEF2F4"/>
          </w:tcPr>
          <w:p>
            <w:r>
              <w:rPr>
                <w:b/>
                <w:sz w:val="18"/>
              </w:rPr>
              <w:t>Service TIC</w:t>
            </w:r>
          </w:p>
        </w:tc>
        <w:tc>
          <w:tcPr>
            <w:tcW w:type="dxa" w:w="6192"/>
          </w:tcPr>
          <w:p>
            <w:r>
              <w:rPr>
                <w:sz w:val="18"/>
              </w:rPr>
              <w:t>Plateforme d'hébergement core banking — S17 (Infrastructure en tant que service)</w:t>
            </w:r>
          </w:p>
        </w:tc>
      </w:tr>
      <w:tr>
        <w:tc>
          <w:tcPr>
            <w:tcW w:type="dxa" w:w="3168"/>
            <w:shd w:val="clear" w:fill="EEF2F4"/>
          </w:tcPr>
          <w:p>
            <w:r>
              <w:rPr>
                <w:b/>
                <w:sz w:val="18"/>
              </w:rPr>
              <w:t>Fonction critique/importante soutenue</w:t>
            </w:r>
          </w:p>
        </w:tc>
        <w:tc>
          <w:tcPr>
            <w:tcW w:type="dxa" w:w="6192"/>
          </w:tcPr>
          <w:p>
            <w:r>
              <w:rPr>
                <w:sz w:val="18"/>
              </w:rPr>
              <w:t>Traitement des paiements de détail (critique — test de l'art. 3(22) documenté dans le RoI B_06.01)</w:t>
            </w:r>
          </w:p>
        </w:tc>
      </w:tr>
      <w:tr>
        <w:tc>
          <w:tcPr>
            <w:tcW w:type="dxa" w:w="3168"/>
            <w:shd w:val="clear" w:fill="EEF2F4"/>
          </w:tcPr>
          <w:p>
            <w:r>
              <w:rPr>
                <w:b/>
                <w:sz w:val="18"/>
              </w:rPr>
              <w:t>Propriétaire du plan</w:t>
            </w:r>
          </w:p>
        </w:tc>
        <w:tc>
          <w:tcPr>
            <w:tcW w:type="dxa" w:w="6192"/>
          </w:tcPr>
          <w:p>
            <w:r>
              <w:rPr>
                <w:sz w:val="18"/>
              </w:rPr>
              <w:t>Responsable de la gestion des risques tiers</w:t>
            </w:r>
          </w:p>
        </w:tc>
      </w:tr>
      <w:tr>
        <w:tc>
          <w:tcPr>
            <w:tcW w:type="dxa" w:w="3168"/>
            <w:shd w:val="clear" w:fill="EEF2F4"/>
          </w:tcPr>
          <w:p>
            <w:r>
              <w:rPr>
                <w:b/>
                <w:sz w:val="18"/>
              </w:rPr>
              <w:t>Décideur de l'activation</w:t>
            </w:r>
          </w:p>
        </w:tc>
        <w:tc>
          <w:tcPr>
            <w:tcW w:type="dxa" w:w="6192"/>
          </w:tcPr>
          <w:p>
            <w:r>
              <w:rPr>
                <w:sz w:val="18"/>
              </w:rPr>
              <w:t>Comité de résilience opérationnelle</w:t>
            </w:r>
          </w:p>
        </w:tc>
      </w:tr>
      <w:tr>
        <w:tc>
          <w:tcPr>
            <w:tcW w:type="dxa" w:w="3168"/>
            <w:shd w:val="clear" w:fill="EEF2F4"/>
          </w:tcPr>
          <w:p>
            <w:r>
              <w:rPr>
                <w:b/>
                <w:sz w:val="18"/>
              </w:rPr>
              <w:t>Version · date du plan</w:t>
            </w:r>
          </w:p>
        </w:tc>
        <w:tc>
          <w:tcPr>
            <w:tcW w:type="dxa" w:w="6192"/>
          </w:tcPr>
          <w:p>
            <w:r>
              <w:rPr>
                <w:sz w:val="18"/>
              </w:rPr>
              <w:t>v2.1 · 2026-05-12</w:t>
            </w:r>
          </w:p>
        </w:tc>
      </w:tr>
    </w:tbl>
    <w:p/>
    <w:p>
      <w:pPr>
        <w:pStyle w:val="Heading2"/>
      </w:pPr>
      <w:r>
        <w:rPr>
          <w:color w:val="0A2733"/>
        </w:rPr>
        <w:t>E.2 Déclencheurs (extrait)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Planifié</w:t>
            </w:r>
          </w:p>
        </w:tc>
        <w:tc>
          <w:tcPr>
            <w:tcW w:type="dxa" w:w="6192"/>
          </w:tcPr>
          <w:p>
            <w:r>
              <w:rPr>
                <w:sz w:val="18"/>
              </w:rPr>
              <w:t>Expiration du contrat au 2027-02-28 sans accord de renouvellement au 2026-09-30</w:t>
            </w:r>
          </w:p>
        </w:tc>
      </w:tr>
      <w:tr>
        <w:tc>
          <w:tcPr>
            <w:tcW w:type="dxa" w:w="3168"/>
            <w:shd w:val="clear" w:fill="EEF2F4"/>
          </w:tcPr>
          <w:p>
            <w:r>
              <w:rPr>
                <w:b/>
                <w:sz w:val="18"/>
              </w:rPr>
              <w:t>Sous contrainte</w:t>
            </w:r>
          </w:p>
        </w:tc>
        <w:tc>
          <w:tcPr>
            <w:tcW w:type="dxa" w:w="6192"/>
          </w:tcPr>
          <w:p>
            <w:r>
              <w:rPr>
                <w:sz w:val="18"/>
              </w:rPr>
              <w:t>Insolvabilité de CloudCore ; constats répétés au titre de l'art. 28(7)(c) — deux manquements durables de disponibilité (&lt;99,5 % mensuel) sur toute période glissante de 6 mois ; restriction prudentielle visant le prestataire</w:t>
            </w:r>
          </w:p>
        </w:tc>
      </w:tr>
    </w:tbl>
    <w:p/>
    <w:p>
      <w:pPr>
        <w:pStyle w:val="Heading2"/>
      </w:pPr>
      <w:r>
        <w:rPr>
          <w:color w:val="0A2733"/>
        </w:rPr>
        <w:t>E.3 Alternative &amp; transition (extrait)</w:t>
      </w:r>
    </w:p>
    <w:tbl>
      <w:tblPr>
        <w:tblStyle w:val="TableGrid"/>
        <w:tblW w:type="auto" w:w="0"/>
        <w:jc w:val="left"/>
        <w:tblLook w:firstColumn="1" w:firstRow="1" w:lastColumn="0" w:lastRow="0" w:noHBand="0" w:noVBand="1" w:val="04A0"/>
      </w:tblPr>
      <w:tblGrid>
        <w:gridCol w:w="4320"/>
        <w:gridCol w:w="4320"/>
      </w:tblGrid>
      <w:tr>
        <w:tc>
          <w:tcPr>
            <w:tcW w:type="dxa" w:w="3168"/>
            <w:shd w:val="clear" w:fill="EEF2F4"/>
          </w:tcPr>
          <w:p>
            <w:r>
              <w:rPr>
                <w:b/>
                <w:sz w:val="18"/>
              </w:rPr>
              <w:t>Voie de sortie retenue</w:t>
            </w:r>
          </w:p>
        </w:tc>
        <w:tc>
          <w:tcPr>
            <w:tcW w:type="dxa" w:w="6192"/>
          </w:tcPr>
          <w:p>
            <w:r>
              <w:rPr>
                <w:sz w:val="18"/>
              </w:rPr>
              <w:t>Prestataire alternatif : HanseCloud AB (évalué 2026-03, prêt à contractualiser) ; option interne écartée (capacité)</w:t>
            </w:r>
          </w:p>
        </w:tc>
      </w:tr>
      <w:tr>
        <w:tc>
          <w:tcPr>
            <w:tcW w:type="dxa" w:w="3168"/>
            <w:shd w:val="clear" w:fill="EEF2F4"/>
          </w:tcPr>
          <w:p>
            <w:r>
              <w:rPr>
                <w:b/>
                <w:sz w:val="18"/>
              </w:rPr>
              <w:t>Phases &amp; calendrier</w:t>
            </w:r>
          </w:p>
        </w:tc>
        <w:tc>
          <w:tcPr>
            <w:tcW w:type="dxa" w:w="6192"/>
          </w:tcPr>
          <w:p>
            <w:r>
              <w:rPr>
                <w:sz w:val="18"/>
              </w:rPr>
              <w:t>Préparation 4 sem. → migration des données 6 sem. → fonctionnement en parallèle 4 sem. → bascule 1 sem. → décommissionnement 3 sem. = 18 sem. au total</w:t>
            </w:r>
          </w:p>
        </w:tc>
      </w:tr>
      <w:tr>
        <w:tc>
          <w:tcPr>
            <w:tcW w:type="dxa" w:w="3168"/>
            <w:shd w:val="clear" w:fill="EEF2F4"/>
          </w:tcPr>
          <w:p>
            <w:r>
              <w:rPr>
                <w:b/>
                <w:sz w:val="18"/>
              </w:rPr>
              <w:t>Période de transition (art. 30(3)(f))</w:t>
            </w:r>
          </w:p>
        </w:tc>
        <w:tc>
          <w:tcPr>
            <w:tcW w:type="dxa" w:w="6192"/>
          </w:tcPr>
          <w:p>
            <w:r>
              <w:rPr>
                <w:sz w:val="18"/>
              </w:rPr>
              <w:t>24 mois à compter du préavis de résiliation — le plan de 18 sem. tient ; OUI</w:t>
            </w:r>
          </w:p>
        </w:tc>
      </w:tr>
      <w:tr>
        <w:tc>
          <w:tcPr>
            <w:tcW w:type="dxa" w:w="3168"/>
            <w:shd w:val="clear" w:fill="EEF2F4"/>
          </w:tcPr>
          <w:p>
            <w:r>
              <w:rPr>
                <w:b/>
                <w:sz w:val="18"/>
              </w:rPr>
              <w:t>Format de restitution des données</w:t>
            </w:r>
          </w:p>
        </w:tc>
        <w:tc>
          <w:tcPr>
            <w:tcW w:type="dxa" w:w="6192"/>
          </w:tcPr>
          <w:p>
            <w:r>
              <w:rPr>
                <w:sz w:val="18"/>
              </w:rPr>
              <w:t>Dumps PostgreSQL complets + export de stockage objet (compatible S3), AES-256 en transit, vérification par manifestes SHA-256</w:t>
            </w:r>
          </w:p>
        </w:tc>
      </w:tr>
      <w:tr>
        <w:tc>
          <w:tcPr>
            <w:tcW w:type="dxa" w:w="3168"/>
            <w:shd w:val="clear" w:fill="EEF2F4"/>
          </w:tcPr>
          <w:p>
            <w:r>
              <w:rPr>
                <w:b/>
                <w:sz w:val="18"/>
              </w:rPr>
              <w:t>Contingence</w:t>
            </w:r>
          </w:p>
        </w:tc>
        <w:tc>
          <w:tcPr>
            <w:tcW w:type="dxa" w:w="6192"/>
          </w:tcPr>
          <w:p>
            <w:r>
              <w:rPr>
                <w:sz w:val="18"/>
              </w:rPr>
              <w:t>File d'attente de paiements en mode dégradé via le site de traitement secondaire (RTO 4 h) pendant la fenêtre de bascule</w:t>
            </w:r>
          </w:p>
        </w:tc>
      </w:tr>
    </w:tbl>
    <w:p/>
    <w:p>
      <w:pPr>
        <w:pStyle w:val="Heading2"/>
      </w:pPr>
      <w:r>
        <w:rPr>
          <w:color w:val="0A2733"/>
        </w:rPr>
        <w:t>E.4 Dernier test (extrait)</w:t>
      </w:r>
    </w:p>
    <w:tbl>
      <w:tblPr>
        <w:tblStyle w:val="TableGrid"/>
        <w:tblW w:type="auto" w:w="0"/>
        <w:jc w:val="left"/>
        <w:tblLook w:firstColumn="1" w:firstRow="1" w:lastColumn="0" w:lastRow="0" w:noHBand="0" w:noVBand="1" w:val="04A0"/>
      </w:tblPr>
      <w:tblGrid>
        <w:gridCol w:w="4320"/>
        <w:gridCol w:w="4320"/>
      </w:tblGrid>
      <w:tr>
        <w:tc>
          <w:tcPr>
            <w:tcW w:type="dxa" w:w="2592"/>
            <w:shd w:val="clear" w:fill="EEF2F4"/>
          </w:tcPr>
          <w:p>
            <w:r>
              <w:rPr>
                <w:b/>
                <w:sz w:val="18"/>
              </w:rPr>
              <w:t>2026-04-22 · CTR-2024-018</w:t>
            </w:r>
          </w:p>
        </w:tc>
        <w:tc>
          <w:tcPr>
            <w:tcW w:type="dxa" w:w="6768"/>
          </w:tcPr>
          <w:p>
            <w:r>
              <w:rPr>
                <w:sz w:val="18"/>
              </w:rPr>
              <w:t>Scénario : interruption persistante (insolvabilité du prestataire). Type : exercice sur table + test d'extraction partielle de données (échantillon de 5 %, intégrité vérifiée). Constats : débit d'export inférieur de 40 % à l'hypothèse — phase de migration replanifiée de 4 à 6 sem. Remédiation clôturée le 2026-05-12 ; prochain test 2027-04.</w:t>
            </w:r>
          </w:p>
        </w:tc>
      </w:tr>
    </w:tbl>
    <w:p/>
    <w:p>
      <w:r>
        <w:rPr>
          <w:b w:val="0"/>
          <w:i w:val="0"/>
          <w:sz w:val="20"/>
        </w:rPr>
      </w:r>
    </w:p>
    <w:p>
      <w:r>
        <w:rPr>
          <w:b w:val="0"/>
          <w:i/>
          <w:sz w:val="16"/>
        </w:rPr>
        <w:t>Orbiq · Modèle de stratégie de sortie et de plan de sortie DORA v1.0 · 2026-07-23 · orbiqhq.com/fr/modeles/modele-strategie-sortie-dora · Utilisation et adaptation libres au sein de votre organisation. Ne constitue pas un conseil juridique.</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