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Modèle d'AIPD — RGPD article 35</w:t>
      </w:r>
    </w:p>
    <w:p>
      <w:r>
        <w:rPr>
          <w:color w:val="5A6A72"/>
          <w:sz w:val="24"/>
        </w:rPr>
        <w:t>Analyse d'impact relative à la protection des données · filtrage → description → nécessité → matrice de risques → visa · avec annexe IA</w:t>
      </w:r>
    </w:p>
    <w:p>
      <w:r>
        <w:rPr>
          <w:b/>
          <w:color w:val="B88A00"/>
          <w:sz w:val="18"/>
        </w:rPr>
        <w:t>MODÈLE GRATUIT — DOCX · PDF · MD    |    Version 1.0 · Mise à jour 2026-07-15</w:t>
      </w:r>
    </w:p>
    <w:p>
      <w:r>
        <w:rPr>
          <w:i/>
          <w:color w:val="5A6A72"/>
          <w:sz w:val="18"/>
        </w:rPr>
        <w:t>À compléter AVANT le début du traitement (art 35(1)). Les sections 4 à 11 constituent le contenu obligatoire de l'art 35(7)(a)–(d). Lorsqu'un DPO est désigné, son avis est obligatoire (art 35(2)). S'il subsiste un risque résiduel élevé, consultez votre autorité de contrôle avant le traitement (art 36 — avis écrit sous 8 semaines, prolongeables de 6). Revoyez l'analyse au moins lorsque le risque change (art 35(11)).</w:t>
      </w:r>
    </w:p>
    <w:p>
      <w:pPr>
        <w:pStyle w:val="Heading1"/>
      </w:pPr>
      <w:r>
        <w:t>1. Contrôle du document</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Référence de l'AIPD</w:t>
            </w:r>
          </w:p>
        </w:tc>
        <w:tc>
          <w:tcPr>
            <w:tcW w:type="dxa" w:w="4320"/>
          </w:tcPr>
          <w:p>
            <w:r>
              <w:rPr>
                <w:i/>
                <w:color w:val="5A6A72"/>
                <w:sz w:val="17"/>
              </w:rPr>
              <w:t>ID interne, p. ex. DPIA-2026-004</w:t>
            </w:r>
          </w:p>
        </w:tc>
      </w:tr>
      <w:tr>
        <w:tc>
          <w:tcPr>
            <w:tcW w:type="dxa" w:w="4320"/>
            <w:shd w:val="clear" w:fill="F5F1E8"/>
          </w:tcPr>
          <w:p>
            <w:r>
              <w:rPr>
                <w:b/>
                <w:color w:val="0A2733"/>
                <w:sz w:val="17"/>
              </w:rPr>
              <w:t>Nom du traitement / de la fonctionnalité</w:t>
            </w:r>
          </w:p>
        </w:tc>
        <w:tc>
          <w:tcPr>
            <w:tcW w:type="dxa" w:w="4320"/>
          </w:tcPr>
          <w:p>
            <w:r>
              <w:rPr>
                <w:i/>
                <w:color w:val="5A6A72"/>
                <w:sz w:val="17"/>
              </w:rPr>
              <w:t>Nom court du traitement analysé</w:t>
            </w:r>
          </w:p>
        </w:tc>
      </w:tr>
      <w:tr>
        <w:tc>
          <w:tcPr>
            <w:tcW w:type="dxa" w:w="4320"/>
            <w:shd w:val="clear" w:fill="F5F1E8"/>
          </w:tcPr>
          <w:p>
            <w:r>
              <w:rPr>
                <w:b/>
                <w:color w:val="0A2733"/>
                <w:sz w:val="17"/>
              </w:rPr>
              <w:t>Responsable du traitement</w:t>
            </w:r>
          </w:p>
        </w:tc>
        <w:tc>
          <w:tcPr>
            <w:tcW w:type="dxa" w:w="4320"/>
          </w:tcPr>
          <w:p>
            <w:r>
              <w:rPr>
                <w:i w:val="0"/>
                <w:color w:val="5A6A72"/>
                <w:sz w:val="17"/>
              </w:rPr>
              <w:t>Entité juridique</w:t>
            </w:r>
          </w:p>
        </w:tc>
      </w:tr>
      <w:tr>
        <w:tc>
          <w:tcPr>
            <w:tcW w:type="dxa" w:w="4320"/>
            <w:shd w:val="clear" w:fill="F5F1E8"/>
          </w:tcPr>
          <w:p>
            <w:r>
              <w:rPr>
                <w:b/>
                <w:color w:val="0A2733"/>
                <w:sz w:val="17"/>
              </w:rPr>
              <w:t>Évaluateur</w:t>
            </w:r>
          </w:p>
        </w:tc>
        <w:tc>
          <w:tcPr>
            <w:tcW w:type="dxa" w:w="4320"/>
          </w:tcPr>
          <w:p>
            <w:r>
              <w:rPr>
                <w:i/>
                <w:color w:val="5A6A72"/>
                <w:sz w:val="17"/>
              </w:rPr>
              <w:t>Personne qui complète cette AIPD</w:t>
            </w:r>
          </w:p>
        </w:tc>
      </w:tr>
      <w:tr>
        <w:tc>
          <w:tcPr>
            <w:tcW w:type="dxa" w:w="4320"/>
            <w:shd w:val="clear" w:fill="F5F1E8"/>
          </w:tcPr>
          <w:p>
            <w:r>
              <w:rPr>
                <w:b/>
                <w:color w:val="0A2733"/>
                <w:sz w:val="17"/>
              </w:rPr>
              <w:t>Date de début / d'approbation</w:t>
            </w:r>
          </w:p>
        </w:tc>
        <w:tc>
          <w:tcPr>
            <w:tcW w:type="dxa" w:w="4320"/>
          </w:tcPr>
          <w:p>
            <w:r>
              <w:rPr>
                <w:i w:val="0"/>
                <w:color w:val="5A6A72"/>
                <w:sz w:val="17"/>
              </w:rPr>
              <w:t>Dates de cycle de vie</w:t>
            </w:r>
          </w:p>
        </w:tc>
      </w:tr>
    </w:tbl>
    <w:p/>
    <w:p>
      <w:pPr>
        <w:pStyle w:val="Heading1"/>
      </w:pPr>
      <w:r>
        <w:t>2. Filtrage — une AIPD est-elle requise ?</w:t>
      </w:r>
    </w:p>
    <w:p>
      <w:pPr>
        <w:pStyle w:val="Heading3"/>
      </w:pPr>
      <w:r>
        <w:t>2a. Cas toujours-AIPD de l'article 35(3)</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Cas</w:t>
            </w:r>
          </w:p>
        </w:tc>
        <w:tc>
          <w:tcPr>
            <w:tcW w:type="dxa" w:w="4320"/>
            <w:shd w:val="clear" w:fill="F2C744"/>
          </w:tcPr>
          <w:p>
            <w:r>
              <w:rPr>
                <w:b/>
                <w:color w:val="0A2733"/>
                <w:sz w:val="17"/>
              </w:rPr>
              <w:t>S'applique ?</w:t>
            </w:r>
          </w:p>
        </w:tc>
      </w:tr>
      <w:tr>
        <w:tc>
          <w:tcPr>
            <w:tcW w:type="dxa" w:w="4320"/>
          </w:tcPr>
          <w:p>
            <w:r>
              <w:rPr>
                <w:i w:val="0"/>
                <w:color w:val="5A6A72"/>
                <w:sz w:val="17"/>
              </w:rPr>
              <w:t>35(3)(a) Évaluation/profilage systématique et approfondi avec effets juridiques ou similaires significatifs</w:t>
            </w:r>
          </w:p>
        </w:tc>
        <w:tc>
          <w:tcPr>
            <w:tcW w:type="dxa" w:w="4320"/>
          </w:tcPr>
          <w:p>
            <w:r>
              <w:rPr>
                <w:i/>
                <w:color w:val="5A6A72"/>
                <w:sz w:val="17"/>
              </w:rPr>
              <w:t>Oui / Non</w:t>
            </w:r>
          </w:p>
        </w:tc>
      </w:tr>
      <w:tr>
        <w:tc>
          <w:tcPr>
            <w:tcW w:type="dxa" w:w="4320"/>
          </w:tcPr>
          <w:p>
            <w:r>
              <w:rPr>
                <w:i w:val="0"/>
                <w:color w:val="5A6A72"/>
                <w:sz w:val="17"/>
              </w:rPr>
              <w:t>35(3)(b) Traitement à grande échelle de données de catégories particulières (art 9) ou relatives aux condamnations pénales (art 10)</w:t>
            </w:r>
          </w:p>
        </w:tc>
        <w:tc>
          <w:tcPr>
            <w:tcW w:type="dxa" w:w="4320"/>
          </w:tcPr>
          <w:p>
            <w:r>
              <w:rPr>
                <w:i/>
                <w:color w:val="5A6A72"/>
                <w:sz w:val="17"/>
              </w:rPr>
              <w:t>Oui / Non</w:t>
            </w:r>
          </w:p>
        </w:tc>
      </w:tr>
      <w:tr>
        <w:tc>
          <w:tcPr>
            <w:tcW w:type="dxa" w:w="4320"/>
          </w:tcPr>
          <w:p>
            <w:r>
              <w:rPr>
                <w:i w:val="0"/>
                <w:color w:val="5A6A72"/>
                <w:sz w:val="17"/>
              </w:rPr>
              <w:t>35(3)(c) Surveillance systématique à grande échelle d'une zone accessible au public</w:t>
            </w:r>
          </w:p>
        </w:tc>
        <w:tc>
          <w:tcPr>
            <w:tcW w:type="dxa" w:w="4320"/>
          </w:tcPr>
          <w:p>
            <w:r>
              <w:rPr>
                <w:i/>
                <w:color w:val="5A6A72"/>
                <w:sz w:val="17"/>
              </w:rPr>
              <w:t>Oui / Non</w:t>
            </w:r>
          </w:p>
        </w:tc>
      </w:tr>
    </w:tbl>
    <w:p/>
    <w:p>
      <w:pPr>
        <w:pStyle w:val="Heading3"/>
      </w:pPr>
      <w:r>
        <w:t>2b. Les neuf critères de risque élevé WP248 rév.01 (deux remplis → AIPD)</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Critère</w:t>
            </w:r>
          </w:p>
        </w:tc>
        <w:tc>
          <w:tcPr>
            <w:tcW w:type="dxa" w:w="4320"/>
            <w:shd w:val="clear" w:fill="F2C744"/>
          </w:tcPr>
          <w:p>
            <w:r>
              <w:rPr>
                <w:b/>
                <w:color w:val="0A2733"/>
                <w:sz w:val="17"/>
              </w:rPr>
              <w:t>Rempli ?</w:t>
            </w:r>
          </w:p>
        </w:tc>
      </w:tr>
      <w:tr>
        <w:tc>
          <w:tcPr>
            <w:tcW w:type="dxa" w:w="4320"/>
          </w:tcPr>
          <w:p>
            <w:r>
              <w:rPr>
                <w:i w:val="0"/>
                <w:color w:val="5A6A72"/>
                <w:sz w:val="17"/>
              </w:rPr>
              <w:t>1. Évaluation ou notation (y compris profilage, prédiction)</w:t>
            </w:r>
          </w:p>
        </w:tc>
        <w:tc>
          <w:tcPr>
            <w:tcW w:type="dxa" w:w="4320"/>
          </w:tcPr>
          <w:p>
            <w:r>
              <w:rPr>
                <w:i/>
                <w:color w:val="5A6A72"/>
                <w:sz w:val="17"/>
              </w:rPr>
              <w:t>Oui / Non</w:t>
            </w:r>
          </w:p>
        </w:tc>
      </w:tr>
      <w:tr>
        <w:tc>
          <w:tcPr>
            <w:tcW w:type="dxa" w:w="4320"/>
          </w:tcPr>
          <w:p>
            <w:r>
              <w:rPr>
                <w:i w:val="0"/>
                <w:color w:val="5A6A72"/>
                <w:sz w:val="17"/>
              </w:rPr>
              <w:t>2. Décision automatisée avec effet juridique ou similaire significatif</w:t>
            </w:r>
          </w:p>
        </w:tc>
        <w:tc>
          <w:tcPr>
            <w:tcW w:type="dxa" w:w="4320"/>
          </w:tcPr>
          <w:p>
            <w:r>
              <w:rPr>
                <w:i/>
                <w:color w:val="5A6A72"/>
                <w:sz w:val="17"/>
              </w:rPr>
              <w:t>Oui / Non</w:t>
            </w:r>
          </w:p>
        </w:tc>
      </w:tr>
      <w:tr>
        <w:tc>
          <w:tcPr>
            <w:tcW w:type="dxa" w:w="4320"/>
          </w:tcPr>
          <w:p>
            <w:r>
              <w:rPr>
                <w:i w:val="0"/>
                <w:color w:val="5A6A72"/>
                <w:sz w:val="17"/>
              </w:rPr>
              <w:t>3. Surveillance systématique</w:t>
            </w:r>
          </w:p>
        </w:tc>
        <w:tc>
          <w:tcPr>
            <w:tcW w:type="dxa" w:w="4320"/>
          </w:tcPr>
          <w:p>
            <w:r>
              <w:rPr>
                <w:i/>
                <w:color w:val="5A6A72"/>
                <w:sz w:val="17"/>
              </w:rPr>
              <w:t>Oui / Non</w:t>
            </w:r>
          </w:p>
        </w:tc>
      </w:tr>
      <w:tr>
        <w:tc>
          <w:tcPr>
            <w:tcW w:type="dxa" w:w="4320"/>
          </w:tcPr>
          <w:p>
            <w:r>
              <w:rPr>
                <w:i w:val="0"/>
                <w:color w:val="5A6A72"/>
                <w:sz w:val="17"/>
              </w:rPr>
              <w:t>4. Données sensibles ou données à caractère hautement personnel</w:t>
            </w:r>
          </w:p>
        </w:tc>
        <w:tc>
          <w:tcPr>
            <w:tcW w:type="dxa" w:w="4320"/>
          </w:tcPr>
          <w:p>
            <w:r>
              <w:rPr>
                <w:i/>
                <w:color w:val="5A6A72"/>
                <w:sz w:val="17"/>
              </w:rPr>
              <w:t>Oui / Non</w:t>
            </w:r>
          </w:p>
        </w:tc>
      </w:tr>
      <w:tr>
        <w:tc>
          <w:tcPr>
            <w:tcW w:type="dxa" w:w="4320"/>
          </w:tcPr>
          <w:p>
            <w:r>
              <w:rPr>
                <w:i w:val="0"/>
                <w:color w:val="5A6A72"/>
                <w:sz w:val="17"/>
              </w:rPr>
              <w:t>5. Données traitées à grande échelle</w:t>
            </w:r>
          </w:p>
        </w:tc>
        <w:tc>
          <w:tcPr>
            <w:tcW w:type="dxa" w:w="4320"/>
          </w:tcPr>
          <w:p>
            <w:r>
              <w:rPr>
                <w:i/>
                <w:color w:val="5A6A72"/>
                <w:sz w:val="17"/>
              </w:rPr>
              <w:t>Oui / Non</w:t>
            </w:r>
          </w:p>
        </w:tc>
      </w:tr>
      <w:tr>
        <w:tc>
          <w:tcPr>
            <w:tcW w:type="dxa" w:w="4320"/>
          </w:tcPr>
          <w:p>
            <w:r>
              <w:rPr>
                <w:i w:val="0"/>
                <w:color w:val="5A6A72"/>
                <w:sz w:val="17"/>
              </w:rPr>
              <w:t>6. Croisement ou combinaison d'ensembles de données</w:t>
            </w:r>
          </w:p>
        </w:tc>
        <w:tc>
          <w:tcPr>
            <w:tcW w:type="dxa" w:w="4320"/>
          </w:tcPr>
          <w:p>
            <w:r>
              <w:rPr>
                <w:i/>
                <w:color w:val="5A6A72"/>
                <w:sz w:val="17"/>
              </w:rPr>
              <w:t>Oui / Non</w:t>
            </w:r>
          </w:p>
        </w:tc>
      </w:tr>
      <w:tr>
        <w:tc>
          <w:tcPr>
            <w:tcW w:type="dxa" w:w="4320"/>
          </w:tcPr>
          <w:p>
            <w:r>
              <w:rPr>
                <w:i w:val="0"/>
                <w:color w:val="5A6A72"/>
                <w:sz w:val="17"/>
              </w:rPr>
              <w:t>7. Données concernant des personnes vulnérables</w:t>
            </w:r>
          </w:p>
        </w:tc>
        <w:tc>
          <w:tcPr>
            <w:tcW w:type="dxa" w:w="4320"/>
          </w:tcPr>
          <w:p>
            <w:r>
              <w:rPr>
                <w:i/>
                <w:color w:val="5A6A72"/>
                <w:sz w:val="17"/>
              </w:rPr>
              <w:t>Oui / Non</w:t>
            </w:r>
          </w:p>
        </w:tc>
      </w:tr>
      <w:tr>
        <w:tc>
          <w:tcPr>
            <w:tcW w:type="dxa" w:w="4320"/>
          </w:tcPr>
          <w:p>
            <w:r>
              <w:rPr>
                <w:i w:val="0"/>
                <w:color w:val="5A6A72"/>
                <w:sz w:val="17"/>
              </w:rPr>
              <w:t>8. Usage innovant / solutions technologiques ou organisationnelles nouvelles (y compris l'IA)</w:t>
            </w:r>
          </w:p>
        </w:tc>
        <w:tc>
          <w:tcPr>
            <w:tcW w:type="dxa" w:w="4320"/>
          </w:tcPr>
          <w:p>
            <w:r>
              <w:rPr>
                <w:i/>
                <w:color w:val="5A6A72"/>
                <w:sz w:val="17"/>
              </w:rPr>
              <w:t>Oui / Non</w:t>
            </w:r>
          </w:p>
        </w:tc>
      </w:tr>
      <w:tr>
        <w:tc>
          <w:tcPr>
            <w:tcW w:type="dxa" w:w="4320"/>
          </w:tcPr>
          <w:p>
            <w:r>
              <w:rPr>
                <w:i w:val="0"/>
                <w:color w:val="5A6A72"/>
                <w:sz w:val="17"/>
              </w:rPr>
              <w:t>9. Traitement empêchant l'exercice d'un droit ou l'utilisation d'un service/contrat</w:t>
            </w:r>
          </w:p>
        </w:tc>
        <w:tc>
          <w:tcPr>
            <w:tcW w:type="dxa" w:w="4320"/>
          </w:tcPr>
          <w:p>
            <w:r>
              <w:rPr>
                <w:i/>
                <w:color w:val="5A6A72"/>
                <w:sz w:val="17"/>
              </w:rPr>
              <w:t>Oui / Non</w:t>
            </w:r>
          </w:p>
        </w:tc>
      </w:tr>
    </w:tbl>
    <w:p/>
    <w:p>
      <w:r>
        <w:rPr>
          <w:i/>
          <w:color w:val="5A6A72"/>
          <w:sz w:val="18"/>
        </w:rPr>
        <w:t>Consultez aussi la liste de l'art 35(4) de votre autorité de contrôle — p. ex. la liste de 14 catégories de la CNIL (FR), la liste britannique à risque élevé de l'ICO, la liste norvégienne du Datatilsynet.</w:t>
      </w:r>
    </w:p>
    <w:p>
      <w:pPr>
        <w:pStyle w:val="Heading1"/>
      </w:pPr>
      <w:r>
        <w:t>3. Résultat du filtrage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AIPD requise ?</w:t>
            </w:r>
          </w:p>
        </w:tc>
        <w:tc>
          <w:tcPr>
            <w:tcW w:type="dxa" w:w="4320"/>
          </w:tcPr>
          <w:p>
            <w:r>
              <w:rPr>
                <w:i/>
                <w:color w:val="5A6A72"/>
                <w:sz w:val="17"/>
              </w:rPr>
              <w:t>Oui / Non — avec le(s) déclencheur(s) : cas de l'art 35(3), nombre de critères WP248 remplis, ou entrée d'une liste art 35(4)</w:t>
            </w:r>
          </w:p>
        </w:tc>
      </w:tr>
      <w:tr>
        <w:tc>
          <w:tcPr>
            <w:tcW w:type="dxa" w:w="4320"/>
            <w:shd w:val="clear" w:fill="F5F1E8"/>
          </w:tcPr>
          <w:p>
            <w:r>
              <w:rPr>
                <w:b/>
                <w:color w:val="0A2733"/>
                <w:sz w:val="17"/>
              </w:rPr>
              <w:t>Si non</w:t>
            </w:r>
          </w:p>
        </w:tc>
        <w:tc>
          <w:tcPr>
            <w:tcW w:type="dxa" w:w="4320"/>
          </w:tcPr>
          <w:p>
            <w:r>
              <w:rPr>
                <w:i w:val="0"/>
                <w:color w:val="5A6A72"/>
                <w:sz w:val="17"/>
              </w:rPr>
              <w:t>Consignez le raisonnement et conservez ce document — le « non » documenté est une preuve de responsabilité. Refiltrez si le traitement change.</w:t>
            </w:r>
          </w:p>
        </w:tc>
      </w:tr>
    </w:tbl>
    <w:p/>
    <w:p>
      <w:pPr>
        <w:pStyle w:val="Heading1"/>
      </w:pPr>
      <w:r>
        <w:t>4. Description systématique du traitement (art 35(7)(a))</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Nature, portée, contexte, finalités</w:t>
            </w:r>
          </w:p>
        </w:tc>
        <w:tc>
          <w:tcPr>
            <w:tcW w:type="dxa" w:w="4320"/>
          </w:tcPr>
          <w:p>
            <w:r>
              <w:rPr>
                <w:i/>
                <w:color w:val="5A6A72"/>
                <w:sz w:val="17"/>
              </w:rPr>
              <w:t>Ce que fait le traitement, pour qui, à quelle échelle et pourquoi</w:t>
            </w:r>
          </w:p>
        </w:tc>
      </w:tr>
      <w:tr>
        <w:tc>
          <w:tcPr>
            <w:tcW w:type="dxa" w:w="4320"/>
            <w:shd w:val="clear" w:fill="F5F1E8"/>
          </w:tcPr>
          <w:p>
            <w:r>
              <w:rPr>
                <w:b/>
                <w:color w:val="0A2733"/>
                <w:sz w:val="17"/>
              </w:rPr>
              <w:t>Catégories de données personnelles</w:t>
            </w:r>
          </w:p>
        </w:tc>
        <w:tc>
          <w:tcPr>
            <w:tcW w:type="dxa" w:w="4320"/>
          </w:tcPr>
          <w:p>
            <w:r>
              <w:rPr>
                <w:i w:val="0"/>
                <w:color w:val="5A6A72"/>
                <w:sz w:val="17"/>
              </w:rPr>
              <w:t>Signaler explicitement les catégories particulières (art 9)</w:t>
            </w:r>
          </w:p>
        </w:tc>
      </w:tr>
      <w:tr>
        <w:tc>
          <w:tcPr>
            <w:tcW w:type="dxa" w:w="4320"/>
            <w:shd w:val="clear" w:fill="F5F1E8"/>
          </w:tcPr>
          <w:p>
            <w:r>
              <w:rPr>
                <w:b/>
                <w:color w:val="0A2733"/>
                <w:sz w:val="17"/>
              </w:rPr>
              <w:t>Catégories de personnes concernées</w:t>
            </w:r>
          </w:p>
        </w:tc>
        <w:tc>
          <w:tcPr>
            <w:tcW w:type="dxa" w:w="4320"/>
          </w:tcPr>
          <w:p>
            <w:r>
              <w:rPr>
                <w:i w:val="0"/>
                <w:color w:val="5A6A72"/>
                <w:sz w:val="17"/>
              </w:rPr>
              <w:t>Signaler les groupes vulnérables (enfants, salariés, patients)</w:t>
            </w:r>
          </w:p>
        </w:tc>
      </w:tr>
      <w:tr>
        <w:tc>
          <w:tcPr>
            <w:tcW w:type="dxa" w:w="4320"/>
            <w:shd w:val="clear" w:fill="F5F1E8"/>
          </w:tcPr>
          <w:p>
            <w:r>
              <w:rPr>
                <w:b/>
                <w:color w:val="0A2733"/>
                <w:sz w:val="17"/>
              </w:rPr>
              <w:t>Destinataires</w:t>
            </w:r>
          </w:p>
        </w:tc>
        <w:tc>
          <w:tcPr>
            <w:tcW w:type="dxa" w:w="4320"/>
          </w:tcPr>
          <w:p>
            <w:r>
              <w:rPr>
                <w:i/>
                <w:color w:val="5A6A72"/>
                <w:sz w:val="17"/>
              </w:rPr>
              <w:t>Équipes internes, sous-traitants, tiers</w:t>
            </w:r>
          </w:p>
        </w:tc>
      </w:tr>
      <w:tr>
        <w:tc>
          <w:tcPr>
            <w:tcW w:type="dxa" w:w="4320"/>
            <w:shd w:val="clear" w:fill="F5F1E8"/>
          </w:tcPr>
          <w:p>
            <w:r>
              <w:rPr>
                <w:b/>
                <w:color w:val="0A2733"/>
                <w:sz w:val="17"/>
              </w:rPr>
              <w:t>Transferts internationaux</w:t>
            </w:r>
          </w:p>
        </w:tc>
        <w:tc>
          <w:tcPr>
            <w:tcW w:type="dxa" w:w="4320"/>
          </w:tcPr>
          <w:p>
            <w:r>
              <w:rPr>
                <w:i w:val="0"/>
                <w:color w:val="5A6A72"/>
                <w:sz w:val="17"/>
              </w:rPr>
              <w:t>Pays tiers + mécanisme de transfert (CCT, adéquation)</w:t>
            </w:r>
          </w:p>
        </w:tc>
      </w:tr>
      <w:tr>
        <w:tc>
          <w:tcPr>
            <w:tcW w:type="dxa" w:w="4320"/>
            <w:shd w:val="clear" w:fill="F5F1E8"/>
          </w:tcPr>
          <w:p>
            <w:r>
              <w:rPr>
                <w:b/>
                <w:color w:val="0A2733"/>
                <w:sz w:val="17"/>
              </w:rPr>
              <w:t>Conservation</w:t>
            </w:r>
          </w:p>
        </w:tc>
        <w:tc>
          <w:tcPr>
            <w:tcW w:type="dxa" w:w="4320"/>
          </w:tcPr>
          <w:p>
            <w:r>
              <w:rPr>
                <w:i/>
                <w:color w:val="5A6A72"/>
                <w:sz w:val="17"/>
              </w:rPr>
              <w:t>Durée et déclencheur de suppression</w:t>
            </w:r>
          </w:p>
        </w:tc>
      </w:tr>
      <w:tr>
        <w:tc>
          <w:tcPr>
            <w:tcW w:type="dxa" w:w="4320"/>
            <w:shd w:val="clear" w:fill="F5F1E8"/>
          </w:tcPr>
          <w:p>
            <w:r>
              <w:rPr>
                <w:b/>
                <w:color w:val="0A2733"/>
                <w:sz w:val="17"/>
              </w:rPr>
              <w:t>Systèmes et flux de données</w:t>
            </w:r>
          </w:p>
        </w:tc>
        <w:tc>
          <w:tcPr>
            <w:tcW w:type="dxa" w:w="4320"/>
          </w:tcPr>
          <w:p>
            <w:r>
              <w:rPr>
                <w:i/>
                <w:color w:val="5A6A72"/>
                <w:sz w:val="17"/>
              </w:rPr>
              <w:t>Où les données résident et circulent ; joindre un schéma de flux si disponible</w:t>
            </w:r>
          </w:p>
        </w:tc>
      </w:tr>
      <w:tr>
        <w:tc>
          <w:tcPr>
            <w:tcW w:type="dxa" w:w="4320"/>
            <w:shd w:val="clear" w:fill="F5F1E8"/>
          </w:tcPr>
          <w:p>
            <w:r>
              <w:rPr>
                <w:b/>
                <w:color w:val="0A2733"/>
                <w:sz w:val="17"/>
              </w:rPr>
              <w:t>Intérêt légitime poursuivi</w:t>
            </w:r>
          </w:p>
        </w:tc>
        <w:tc>
          <w:tcPr>
            <w:tcW w:type="dxa" w:w="4320"/>
          </w:tcPr>
          <w:p>
            <w:r>
              <w:rPr>
                <w:i w:val="0"/>
                <w:color w:val="5A6A72"/>
                <w:sz w:val="17"/>
              </w:rPr>
              <w:t>Uniquement si l'art 6(1)(f) est invoqué</w:t>
            </w:r>
          </w:p>
        </w:tc>
      </w:tr>
    </w:tbl>
    <w:p/>
    <w:p>
      <w:pPr>
        <w:pStyle w:val="Heading1"/>
      </w:pPr>
      <w:r>
        <w:t>5. Dossier de consultation (art 35(2), 35(9))</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Avis du DPO</w:t>
            </w:r>
          </w:p>
        </w:tc>
        <w:tc>
          <w:tcPr>
            <w:tcW w:type="dxa" w:w="4320"/>
          </w:tcPr>
          <w:p>
            <w:r>
              <w:rPr>
                <w:i w:val="0"/>
                <w:color w:val="5A6A72"/>
                <w:sz w:val="17"/>
              </w:rPr>
              <w:t>Obligatoire lorsqu'un DPO est désigné — consigner l'avis et la date</w:t>
            </w:r>
          </w:p>
        </w:tc>
      </w:tr>
      <w:tr>
        <w:tc>
          <w:tcPr>
            <w:tcW w:type="dxa" w:w="4320"/>
            <w:shd w:val="clear" w:fill="F5F1E8"/>
          </w:tcPr>
          <w:p>
            <w:r>
              <w:rPr>
                <w:b/>
                <w:color w:val="0A2733"/>
                <w:sz w:val="17"/>
              </w:rPr>
              <w:t>Point de vue des personnes concernées</w:t>
            </w:r>
          </w:p>
        </w:tc>
        <w:tc>
          <w:tcPr>
            <w:tcW w:type="dxa" w:w="4320"/>
          </w:tcPr>
          <w:p>
            <w:r>
              <w:rPr>
                <w:i/>
                <w:color w:val="5A6A72"/>
                <w:sz w:val="17"/>
              </w:rPr>
              <w:t>Le cas échéant, recueillir le point de vue des personnes concernées ou de leurs représentants ; si non recueilli, consigner pourquoi</w:t>
            </w:r>
          </w:p>
        </w:tc>
      </w:tr>
      <w:tr>
        <w:tc>
          <w:tcPr>
            <w:tcW w:type="dxa" w:w="4320"/>
            <w:shd w:val="clear" w:fill="F5F1E8"/>
          </w:tcPr>
          <w:p>
            <w:r>
              <w:rPr>
                <w:b/>
                <w:color w:val="0A2733"/>
                <w:sz w:val="17"/>
              </w:rPr>
              <w:t>Sous-traitants / fournisseurs consultés</w:t>
            </w:r>
          </w:p>
        </w:tc>
        <w:tc>
          <w:tcPr>
            <w:tcW w:type="dxa" w:w="4320"/>
          </w:tcPr>
          <w:p>
            <w:r>
              <w:rPr>
                <w:i/>
                <w:color w:val="5A6A72"/>
                <w:sz w:val="17"/>
              </w:rPr>
              <w:t>P. ex. documentation du fournisseur d'IA examinée</w:t>
            </w:r>
          </w:p>
        </w:tc>
      </w:tr>
    </w:tbl>
    <w:p/>
    <w:p>
      <w:pPr>
        <w:pStyle w:val="Heading1"/>
      </w:pPr>
      <w:r>
        <w:t>6. Nécessité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Base légale</w:t>
            </w:r>
          </w:p>
        </w:tc>
        <w:tc>
          <w:tcPr>
            <w:tcW w:type="dxa" w:w="4320"/>
          </w:tcPr>
          <w:p>
            <w:r>
              <w:rPr>
                <w:i w:val="0"/>
                <w:color w:val="5A6A72"/>
                <w:sz w:val="17"/>
              </w:rPr>
              <w:t>Base de l'art 6 ; condition de l'art 9 si catégories particulières</w:t>
            </w:r>
          </w:p>
        </w:tc>
      </w:tr>
      <w:tr>
        <w:tc>
          <w:tcPr>
            <w:tcW w:type="dxa" w:w="4320"/>
            <w:shd w:val="clear" w:fill="F5F1E8"/>
          </w:tcPr>
          <w:p>
            <w:r>
              <w:rPr>
                <w:b/>
                <w:color w:val="0A2733"/>
                <w:sz w:val="17"/>
              </w:rPr>
              <w:t>Pourquoi ce traitement atteint la finalité</w:t>
            </w:r>
          </w:p>
        </w:tc>
        <w:tc>
          <w:tcPr>
            <w:tcW w:type="dxa" w:w="4320"/>
          </w:tcPr>
          <w:p>
            <w:r>
              <w:rPr>
                <w:i/>
                <w:color w:val="5A6A72"/>
                <w:sz w:val="17"/>
              </w:rPr>
              <w:t>L'argumentaire fonctionnel</w:t>
            </w:r>
          </w:p>
        </w:tc>
      </w:tr>
      <w:tr>
        <w:tc>
          <w:tcPr>
            <w:tcW w:type="dxa" w:w="4320"/>
            <w:shd w:val="clear" w:fill="F5F1E8"/>
          </w:tcPr>
          <w:p>
            <w:r>
              <w:rPr>
                <w:b/>
                <w:color w:val="0A2733"/>
                <w:sz w:val="17"/>
              </w:rPr>
              <w:t>Minimisation des données</w:t>
            </w:r>
          </w:p>
        </w:tc>
        <w:tc>
          <w:tcPr>
            <w:tcW w:type="dxa" w:w="4320"/>
          </w:tcPr>
          <w:p>
            <w:r>
              <w:rPr>
                <w:i/>
                <w:color w:val="5A6A72"/>
                <w:sz w:val="17"/>
              </w:rPr>
              <w:t>Ce qui a été exclu, agrégé ou pseudonymisé</w:t>
            </w:r>
          </w:p>
        </w:tc>
      </w:tr>
    </w:tbl>
    <w:p/>
    <w:p>
      <w:pPr>
        <w:pStyle w:val="Heading1"/>
      </w:pPr>
      <w:r>
        <w:t>7. Proportionnalité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Alternatives moins intrusives envisagées</w:t>
            </w:r>
          </w:p>
        </w:tc>
        <w:tc>
          <w:tcPr>
            <w:tcW w:type="dxa" w:w="4320"/>
          </w:tcPr>
          <w:p>
            <w:r>
              <w:rPr>
                <w:i/>
                <w:color w:val="5A6A72"/>
                <w:sz w:val="17"/>
              </w:rPr>
              <w:t>Pourquoi elles ne suffisent pas</w:t>
            </w:r>
          </w:p>
        </w:tc>
      </w:tr>
      <w:tr>
        <w:tc>
          <w:tcPr>
            <w:tcW w:type="dxa" w:w="4320"/>
            <w:shd w:val="clear" w:fill="F5F1E8"/>
          </w:tcPr>
          <w:p>
            <w:r>
              <w:rPr>
                <w:b/>
                <w:color w:val="0A2733"/>
                <w:sz w:val="17"/>
              </w:rPr>
              <w:t>Transparence</w:t>
            </w:r>
          </w:p>
        </w:tc>
        <w:tc>
          <w:tcPr>
            <w:tcW w:type="dxa" w:w="4320"/>
          </w:tcPr>
          <w:p>
            <w:r>
              <w:rPr>
                <w:i/>
                <w:color w:val="5A6A72"/>
                <w:sz w:val="17"/>
              </w:rPr>
              <w:t>Comment les personnes concernées sont informées</w:t>
            </w:r>
          </w:p>
        </w:tc>
      </w:tr>
      <w:tr>
        <w:tc>
          <w:tcPr>
            <w:tcW w:type="dxa" w:w="4320"/>
            <w:shd w:val="clear" w:fill="F5F1E8"/>
          </w:tcPr>
          <w:p>
            <w:r>
              <w:rPr>
                <w:b/>
                <w:color w:val="0A2733"/>
                <w:sz w:val="17"/>
              </w:rPr>
              <w:t>Exercice des droits</w:t>
            </w:r>
          </w:p>
        </w:tc>
        <w:tc>
          <w:tcPr>
            <w:tcW w:type="dxa" w:w="4320"/>
          </w:tcPr>
          <w:p>
            <w:r>
              <w:rPr>
                <w:i/>
                <w:color w:val="5A6A72"/>
                <w:sz w:val="17"/>
              </w:rPr>
              <w:t>Comment l'accès, l'effacement, l'opposition et la portabilité sont honorés</w:t>
            </w:r>
          </w:p>
        </w:tc>
      </w:tr>
    </w:tbl>
    <w:p/>
    <w:p>
      <w:pPr>
        <w:pStyle w:val="Heading1"/>
      </w:pPr>
      <w:r>
        <w:t>8. Identification des risques (art 35(7)(c))</w:t>
      </w:r>
    </w:p>
    <w:p>
      <w:r>
        <w:rPr>
          <w:i/>
          <w:color w:val="5A6A72"/>
          <w:sz w:val="18"/>
        </w:rPr>
        <w:t>Des risques pour les droits et libertés des personnes concernées — pas des risques pour l'entreprise. À considérer : accès non autorisé, ré-identification, discrimination, détournement de finalité, perte de confidentialité, impossibilité d'exercer ses droits.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ID</w:t>
            </w:r>
          </w:p>
        </w:tc>
        <w:tc>
          <w:tcPr>
            <w:tcW w:type="dxa" w:w="2160"/>
            <w:shd w:val="clear" w:fill="F2C744"/>
          </w:tcPr>
          <w:p>
            <w:r>
              <w:rPr>
                <w:b/>
                <w:color w:val="0A2733"/>
                <w:sz w:val="17"/>
              </w:rPr>
              <w:t>Description du risque</w:t>
            </w:r>
          </w:p>
        </w:tc>
        <w:tc>
          <w:tcPr>
            <w:tcW w:type="dxa" w:w="2160"/>
            <w:shd w:val="clear" w:fill="F2C744"/>
          </w:tcPr>
          <w:p>
            <w:r>
              <w:rPr>
                <w:b/>
                <w:color w:val="0A2733"/>
                <w:sz w:val="17"/>
              </w:rPr>
              <w:t>Probabilité</w:t>
            </w:r>
          </w:p>
        </w:tc>
        <w:tc>
          <w:tcPr>
            <w:tcW w:type="dxa" w:w="2160"/>
            <w:shd w:val="clear" w:fill="F2C744"/>
          </w:tcPr>
          <w:p>
            <w:r>
              <w:rPr>
                <w:b/>
                <w:color w:val="0A2733"/>
                <w:sz w:val="17"/>
              </w:rPr>
              <w:t>Gravité</w:t>
            </w:r>
          </w:p>
        </w:tc>
      </w:tr>
      <w:tr>
        <w:tc>
          <w:tcPr>
            <w:tcW w:type="dxa" w:w="2160"/>
          </w:tcPr>
          <w:p>
            <w:r>
              <w:rPr>
                <w:i w:val="0"/>
                <w:color w:val="5A6A72"/>
                <w:sz w:val="17"/>
              </w:rPr>
              <w:t>R1</w:t>
            </w:r>
          </w:p>
        </w:tc>
        <w:tc>
          <w:tcPr>
            <w:tcW w:type="dxa" w:w="2160"/>
          </w:tcPr>
          <w:p>
            <w:r>
              <w:rPr>
                <w:i/>
                <w:color w:val="5A6A72"/>
                <w:sz w:val="17"/>
              </w:rPr>
              <w:t>Décrivez le préjudice pour les personnes concernées</w:t>
            </w:r>
          </w:p>
        </w:tc>
        <w:tc>
          <w:tcPr>
            <w:tcW w:type="dxa" w:w="2160"/>
          </w:tcPr>
          <w:p>
            <w:r>
              <w:rPr>
                <w:i/>
                <w:color w:val="5A6A72"/>
                <w:sz w:val="17"/>
              </w:rPr>
              <w:t>Faible / Moyenne / Élevée</w:t>
            </w:r>
          </w:p>
        </w:tc>
        <w:tc>
          <w:tcPr>
            <w:tcW w:type="dxa" w:w="2160"/>
          </w:tcPr>
          <w:p>
            <w:r>
              <w:rPr>
                <w:i/>
                <w:color w:val="5A6A72"/>
                <w:sz w:val="17"/>
              </w:rPr>
              <w:t>Faible / Moyenne / Élevée</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R3</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9. Matrice de risques (3×3)</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r>
          </w:p>
        </w:tc>
        <w:tc>
          <w:tcPr>
            <w:tcW w:type="dxa" w:w="2160"/>
            <w:shd w:val="clear" w:fill="F2C744"/>
          </w:tcPr>
          <w:p>
            <w:r>
              <w:rPr>
                <w:b/>
                <w:color w:val="0A2733"/>
                <w:sz w:val="17"/>
              </w:rPr>
              <w:t>Gravité : faible</w:t>
            </w:r>
          </w:p>
        </w:tc>
        <w:tc>
          <w:tcPr>
            <w:tcW w:type="dxa" w:w="2160"/>
            <w:shd w:val="clear" w:fill="F2C744"/>
          </w:tcPr>
          <w:p>
            <w:r>
              <w:rPr>
                <w:b/>
                <w:color w:val="0A2733"/>
                <w:sz w:val="17"/>
              </w:rPr>
              <w:t>Gravité : moyenne</w:t>
            </w:r>
          </w:p>
        </w:tc>
        <w:tc>
          <w:tcPr>
            <w:tcW w:type="dxa" w:w="2160"/>
            <w:shd w:val="clear" w:fill="F2C744"/>
          </w:tcPr>
          <w:p>
            <w:r>
              <w:rPr>
                <w:b/>
                <w:color w:val="0A2733"/>
                <w:sz w:val="17"/>
              </w:rPr>
              <w:t>Gravité : élevée</w:t>
            </w:r>
          </w:p>
        </w:tc>
      </w:tr>
      <w:tr>
        <w:tc>
          <w:tcPr>
            <w:tcW w:type="dxa" w:w="2160"/>
          </w:tcPr>
          <w:p>
            <w:r>
              <w:rPr>
                <w:i w:val="0"/>
                <w:color w:val="5A6A72"/>
                <w:sz w:val="17"/>
              </w:rPr>
              <w:t>Probabilité : élevée</w:t>
            </w:r>
          </w:p>
        </w:tc>
        <w:tc>
          <w:tcPr>
            <w:tcW w:type="dxa" w:w="2160"/>
          </w:tcPr>
          <w:p>
            <w:r>
              <w:rPr>
                <w:i w:val="0"/>
                <w:color w:val="5A6A72"/>
                <w:sz w:val="17"/>
              </w:rPr>
              <w:t>Moyen</w:t>
            </w:r>
          </w:p>
        </w:tc>
        <w:tc>
          <w:tcPr>
            <w:tcW w:type="dxa" w:w="2160"/>
          </w:tcPr>
          <w:p>
            <w:r>
              <w:rPr>
                <w:i w:val="0"/>
                <w:color w:val="5A6A72"/>
                <w:sz w:val="17"/>
              </w:rPr>
              <w:t>Élevé</w:t>
            </w:r>
          </w:p>
        </w:tc>
        <w:tc>
          <w:tcPr>
            <w:tcW w:type="dxa" w:w="2160"/>
          </w:tcPr>
          <w:p>
            <w:r>
              <w:rPr>
                <w:i w:val="0"/>
                <w:color w:val="5A6A72"/>
                <w:sz w:val="17"/>
              </w:rPr>
              <w:t>Élevé</w:t>
            </w:r>
          </w:p>
        </w:tc>
      </w:tr>
      <w:tr>
        <w:tc>
          <w:tcPr>
            <w:tcW w:type="dxa" w:w="2160"/>
          </w:tcPr>
          <w:p>
            <w:r>
              <w:rPr>
                <w:i w:val="0"/>
                <w:color w:val="5A6A72"/>
                <w:sz w:val="17"/>
              </w:rPr>
              <w:t>Probabilité : moyenne</w:t>
            </w:r>
          </w:p>
        </w:tc>
        <w:tc>
          <w:tcPr>
            <w:tcW w:type="dxa" w:w="2160"/>
          </w:tcPr>
          <w:p>
            <w:r>
              <w:rPr>
                <w:i/>
                <w:color w:val="5A6A72"/>
                <w:sz w:val="17"/>
              </w:rPr>
              <w:t>Faible</w:t>
            </w:r>
          </w:p>
        </w:tc>
        <w:tc>
          <w:tcPr>
            <w:tcW w:type="dxa" w:w="2160"/>
          </w:tcPr>
          <w:p>
            <w:r>
              <w:rPr>
                <w:i w:val="0"/>
                <w:color w:val="5A6A72"/>
                <w:sz w:val="17"/>
              </w:rPr>
              <w:t>Moyen</w:t>
            </w:r>
          </w:p>
        </w:tc>
        <w:tc>
          <w:tcPr>
            <w:tcW w:type="dxa" w:w="2160"/>
          </w:tcPr>
          <w:p>
            <w:r>
              <w:rPr>
                <w:i w:val="0"/>
                <w:color w:val="5A6A72"/>
                <w:sz w:val="17"/>
              </w:rPr>
              <w:t>Élevé</w:t>
            </w:r>
          </w:p>
        </w:tc>
      </w:tr>
      <w:tr>
        <w:tc>
          <w:tcPr>
            <w:tcW w:type="dxa" w:w="2160"/>
          </w:tcPr>
          <w:p>
            <w:r>
              <w:rPr>
                <w:i w:val="0"/>
                <w:color w:val="5A6A72"/>
                <w:sz w:val="17"/>
              </w:rPr>
              <w:t>Probabilité : faible</w:t>
            </w:r>
          </w:p>
        </w:tc>
        <w:tc>
          <w:tcPr>
            <w:tcW w:type="dxa" w:w="2160"/>
          </w:tcPr>
          <w:p>
            <w:r>
              <w:rPr>
                <w:i/>
                <w:color w:val="5A6A72"/>
                <w:sz w:val="17"/>
              </w:rPr>
              <w:t>Faible</w:t>
            </w:r>
          </w:p>
        </w:tc>
        <w:tc>
          <w:tcPr>
            <w:tcW w:type="dxa" w:w="2160"/>
          </w:tcPr>
          <w:p>
            <w:r>
              <w:rPr>
                <w:i/>
                <w:color w:val="5A6A72"/>
                <w:sz w:val="17"/>
              </w:rPr>
              <w:t>Faible</w:t>
            </w:r>
          </w:p>
        </w:tc>
        <w:tc>
          <w:tcPr>
            <w:tcW w:type="dxa" w:w="2160"/>
          </w:tcPr>
          <w:p>
            <w:r>
              <w:rPr>
                <w:i w:val="0"/>
                <w:color w:val="5A6A72"/>
                <w:sz w:val="17"/>
              </w:rPr>
              <w:t>Moyen</w:t>
            </w:r>
          </w:p>
        </w:tc>
      </w:tr>
    </w:tbl>
    <w:p/>
    <w:p>
      <w:pPr>
        <w:pStyle w:val="Heading1"/>
      </w:pPr>
      <w:r>
        <w:t>10. Exemple de ligne complétée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fill="F2C744"/>
          </w:tcPr>
          <w:p>
            <w:r>
              <w:rPr>
                <w:b/>
                <w:color w:val="0A2733"/>
                <w:sz w:val="17"/>
              </w:rPr>
              <w:t>ID</w:t>
            </w:r>
          </w:p>
        </w:tc>
        <w:tc>
          <w:tcPr>
            <w:tcW w:type="dxa" w:w="1440"/>
            <w:shd w:val="clear" w:fill="F2C744"/>
          </w:tcPr>
          <w:p>
            <w:r>
              <w:rPr>
                <w:b/>
                <w:color w:val="0A2733"/>
                <w:sz w:val="17"/>
              </w:rPr>
              <w:t>Risque</w:t>
            </w:r>
          </w:p>
        </w:tc>
        <w:tc>
          <w:tcPr>
            <w:tcW w:type="dxa" w:w="1440"/>
            <w:shd w:val="clear" w:fill="F2C744"/>
          </w:tcPr>
          <w:p>
            <w:r>
              <w:rPr>
                <w:b/>
                <w:color w:val="0A2733"/>
                <w:sz w:val="17"/>
              </w:rPr>
              <w:t>Probabilité</w:t>
            </w:r>
          </w:p>
        </w:tc>
        <w:tc>
          <w:tcPr>
            <w:tcW w:type="dxa" w:w="1440"/>
            <w:shd w:val="clear" w:fill="F2C744"/>
          </w:tcPr>
          <w:p>
            <w:r>
              <w:rPr>
                <w:b/>
                <w:color w:val="0A2733"/>
                <w:sz w:val="17"/>
              </w:rPr>
              <w:t>Gravité</w:t>
            </w:r>
          </w:p>
        </w:tc>
        <w:tc>
          <w:tcPr>
            <w:tcW w:type="dxa" w:w="1440"/>
            <w:shd w:val="clear" w:fill="F2C744"/>
          </w:tcPr>
          <w:p>
            <w:r>
              <w:rPr>
                <w:b/>
                <w:color w:val="0A2733"/>
                <w:sz w:val="17"/>
              </w:rPr>
              <w:t>Mesure</w:t>
            </w:r>
          </w:p>
        </w:tc>
        <w:tc>
          <w:tcPr>
            <w:tcW w:type="dxa" w:w="1440"/>
            <w:shd w:val="clear" w:fill="F2C744"/>
          </w:tcPr>
          <w:p>
            <w:r>
              <w:rPr>
                <w:b/>
                <w:color w:val="0A2733"/>
                <w:sz w:val="17"/>
              </w:rPr>
              <w:t>Résiduel</w:t>
            </w:r>
          </w:p>
        </w:tc>
      </w:tr>
      <w:tr>
        <w:tc>
          <w:tcPr>
            <w:tcW w:type="dxa" w:w="1440"/>
          </w:tcPr>
          <w:p>
            <w:r>
              <w:rPr>
                <w:i w:val="0"/>
                <w:color w:val="5A6A72"/>
                <w:sz w:val="17"/>
              </w:rPr>
              <w:t>EX1</w:t>
            </w:r>
          </w:p>
        </w:tc>
        <w:tc>
          <w:tcPr>
            <w:tcW w:type="dxa" w:w="1440"/>
          </w:tcPr>
          <w:p>
            <w:r>
              <w:rPr>
                <w:i w:val="0"/>
                <w:color w:val="5A6A72"/>
                <w:sz w:val="17"/>
              </w:rPr>
              <w:t>Accès non autorisé aux journaux d'un assistant IA de support client contenant des données personnelles</w:t>
            </w:r>
          </w:p>
        </w:tc>
        <w:tc>
          <w:tcPr>
            <w:tcW w:type="dxa" w:w="1440"/>
          </w:tcPr>
          <w:p>
            <w:r>
              <w:rPr>
                <w:i w:val="0"/>
                <w:color w:val="5A6A72"/>
                <w:sz w:val="17"/>
              </w:rPr>
              <w:t>Moyenne</w:t>
            </w:r>
          </w:p>
        </w:tc>
        <w:tc>
          <w:tcPr>
            <w:tcW w:type="dxa" w:w="1440"/>
          </w:tcPr>
          <w:p>
            <w:r>
              <w:rPr>
                <w:i w:val="0"/>
                <w:color w:val="5A6A72"/>
                <w:sz w:val="17"/>
              </w:rPr>
              <w:t>Élevée</w:t>
            </w:r>
          </w:p>
        </w:tc>
        <w:tc>
          <w:tcPr>
            <w:tcW w:type="dxa" w:w="1440"/>
          </w:tcPr>
          <w:p>
            <w:r>
              <w:rPr>
                <w:i w:val="0"/>
                <w:color w:val="5A6A72"/>
                <w:sz w:val="17"/>
              </w:rPr>
              <w:t>Accès restreint au rôle de support d'astreinte ; journaux pseudonymisés après 24 h ; conservation réduite à 30 jours ; accès audités</w:t>
            </w:r>
          </w:p>
        </w:tc>
        <w:tc>
          <w:tcPr>
            <w:tcW w:type="dxa" w:w="1440"/>
          </w:tcPr>
          <w:p>
            <w:r>
              <w:rPr>
                <w:i/>
                <w:color w:val="5A6A72"/>
                <w:sz w:val="17"/>
              </w:rPr>
              <w:t>Faible</w:t>
            </w:r>
          </w:p>
        </w:tc>
      </w:tr>
    </w:tbl>
    <w:p/>
    <w:p>
      <w:pPr>
        <w:pStyle w:val="Heading1"/>
      </w:pPr>
      <w:r>
        <w:t>11. Mesures d'atténuation (art 35(7)(d))</w:t>
      </w:r>
    </w:p>
    <w:p>
      <w:r>
        <w:rPr>
          <w:i/>
          <w:color w:val="5A6A72"/>
          <w:sz w:val="18"/>
        </w:rPr>
        <w:t>Une mesure spécifique par risque. Les formulations génériques ne réduisent pas les scores ; les MTO spécifiques (art 32), les contrôles d'accès, la pseudonymisation et la réduction des durées de conservation, si.</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ID de risque</w:t>
            </w:r>
          </w:p>
        </w:tc>
        <w:tc>
          <w:tcPr>
            <w:tcW w:type="dxa" w:w="2160"/>
            <w:shd w:val="clear" w:fill="F2C744"/>
          </w:tcPr>
          <w:p>
            <w:r>
              <w:rPr>
                <w:b/>
                <w:color w:val="0A2733"/>
                <w:sz w:val="17"/>
              </w:rPr>
              <w:t>Mesure (spécifique)</w:t>
            </w:r>
          </w:p>
        </w:tc>
        <w:tc>
          <w:tcPr>
            <w:tcW w:type="dxa" w:w="2160"/>
            <w:shd w:val="clear" w:fill="F2C744"/>
          </w:tcPr>
          <w:p>
            <w:r>
              <w:rPr>
                <w:b/>
                <w:color w:val="0A2733"/>
                <w:sz w:val="17"/>
              </w:rPr>
              <w:t>Probabilité résiduelle</w:t>
            </w:r>
          </w:p>
        </w:tc>
        <w:tc>
          <w:tcPr>
            <w:tcW w:type="dxa" w:w="2160"/>
            <w:shd w:val="clear" w:fill="F2C744"/>
          </w:tcPr>
          <w:p>
            <w:r>
              <w:rPr>
                <w:b/>
                <w:color w:val="0A2733"/>
                <w:sz w:val="17"/>
              </w:rPr>
              <w:t>Gravité résiduelle</w:t>
            </w:r>
          </w:p>
        </w:tc>
      </w:tr>
      <w:tr>
        <w:tc>
          <w:tcPr>
            <w:tcW w:type="dxa" w:w="2160"/>
          </w:tcPr>
          <w:p>
            <w:r>
              <w:rPr>
                <w:i w:val="0"/>
                <w:color w:val="5A6A72"/>
                <w:sz w:val="17"/>
              </w:rPr>
              <w:t>R1</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12. Risque résiduel &amp; décision de consultation préalable (article 36)</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Risque résiduel global</w:t>
            </w:r>
          </w:p>
        </w:tc>
        <w:tc>
          <w:tcPr>
            <w:tcW w:type="dxa" w:w="4320"/>
          </w:tcPr>
          <w:p>
            <w:r>
              <w:rPr>
                <w:i/>
                <w:color w:val="5A6A72"/>
                <w:sz w:val="17"/>
              </w:rPr>
              <w:t>Faible / Moyen / Élevé — après toutes les mesures</w:t>
            </w:r>
          </w:p>
        </w:tc>
      </w:tr>
      <w:tr>
        <w:tc>
          <w:tcPr>
            <w:tcW w:type="dxa" w:w="4320"/>
            <w:shd w:val="clear" w:fill="F5F1E8"/>
          </w:tcPr>
          <w:p>
            <w:r>
              <w:rPr>
                <w:b/>
                <w:color w:val="0A2733"/>
                <w:sz w:val="17"/>
              </w:rPr>
              <w:t>Consultation préalable requise ?</w:t>
            </w:r>
          </w:p>
        </w:tc>
        <w:tc>
          <w:tcPr>
            <w:tcW w:type="dxa" w:w="4320"/>
          </w:tcPr>
          <w:p>
            <w:r>
              <w:rPr>
                <w:i/>
                <w:color w:val="5A6A72"/>
                <w:sz w:val="17"/>
              </w:rPr>
              <w:t>Si le risque résiduel reste ÉLEVÉ : consultez l'autorité de contrôle AVANT le traitement (art 36). Avis écrit dû sous 8 semaines, prolongeables de 6 pour les traitements complexes.</w:t>
            </w:r>
          </w:p>
        </w:tc>
      </w:tr>
      <w:tr>
        <w:tc>
          <w:tcPr>
            <w:tcW w:type="dxa" w:w="4320"/>
            <w:shd w:val="clear" w:fill="F5F1E8"/>
          </w:tcPr>
          <w:p>
            <w:r>
              <w:rPr>
                <w:b/>
                <w:color w:val="0A2733"/>
                <w:sz w:val="17"/>
              </w:rPr>
              <w:t>Autorité consultée / réponse</w:t>
            </w:r>
          </w:p>
        </w:tc>
        <w:tc>
          <w:tcPr>
            <w:tcW w:type="dxa" w:w="4320"/>
          </w:tcPr>
          <w:p>
            <w:r>
              <w:rPr>
                <w:i/>
                <w:color w:val="5A6A72"/>
                <w:sz w:val="17"/>
              </w:rPr>
              <w:t>Date, référence, issue — ou n/a</w:t>
            </w:r>
          </w:p>
        </w:tc>
      </w:tr>
    </w:tbl>
    <w:p/>
    <w:p>
      <w:pPr>
        <w:pStyle w:val="Heading1"/>
      </w:pPr>
      <w:r>
        <w:t>13. Visa</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Approbation du responsable</w:t>
            </w:r>
          </w:p>
        </w:tc>
        <w:tc>
          <w:tcPr>
            <w:tcW w:type="dxa" w:w="4320"/>
          </w:tcPr>
          <w:p>
            <w:r>
              <w:rPr>
                <w:i/>
                <w:color w:val="5A6A72"/>
                <w:sz w:val="17"/>
              </w:rPr>
              <w:t>Nom, rôle, date</w:t>
            </w:r>
          </w:p>
        </w:tc>
      </w:tr>
      <w:tr>
        <w:tc>
          <w:tcPr>
            <w:tcW w:type="dxa" w:w="4320"/>
            <w:shd w:val="clear" w:fill="F5F1E8"/>
          </w:tcPr>
          <w:p>
            <w:r>
              <w:rPr>
                <w:b/>
                <w:color w:val="0A2733"/>
                <w:sz w:val="17"/>
              </w:rPr>
              <w:t>Avis du DPO consigné</w:t>
            </w:r>
          </w:p>
        </w:tc>
        <w:tc>
          <w:tcPr>
            <w:tcW w:type="dxa" w:w="4320"/>
          </w:tcPr>
          <w:p>
            <w:r>
              <w:rPr>
                <w:i/>
                <w:color w:val="5A6A72"/>
                <w:sz w:val="17"/>
              </w:rPr>
              <w:t>Oui / Non — date</w:t>
            </w:r>
          </w:p>
        </w:tc>
      </w:tr>
      <w:tr>
        <w:tc>
          <w:tcPr>
            <w:tcW w:type="dxa" w:w="4320"/>
            <w:shd w:val="clear" w:fill="F5F1E8"/>
          </w:tcPr>
          <w:p>
            <w:r>
              <w:rPr>
                <w:b/>
                <w:color w:val="0A2733"/>
                <w:sz w:val="17"/>
              </w:rPr>
              <w:t>Conditions attachées</w:t>
            </w:r>
          </w:p>
        </w:tc>
        <w:tc>
          <w:tcPr>
            <w:tcW w:type="dxa" w:w="4320"/>
          </w:tcPr>
          <w:p>
            <w:r>
              <w:rPr>
                <w:i/>
                <w:color w:val="5A6A72"/>
                <w:sz w:val="17"/>
              </w:rPr>
              <w:t>P. ex. réévaluer après 12 mois ou avant un passage à l'échelle</w:t>
            </w:r>
          </w:p>
        </w:tc>
      </w:tr>
    </w:tbl>
    <w:p/>
    <w:p>
      <w:pPr>
        <w:pStyle w:val="Heading1"/>
      </w:pPr>
      <w:r>
        <w:t>14. Journal de revue (art 35(11))</w:t>
      </w:r>
    </w:p>
    <w:p>
      <w:r>
        <w:rPr>
          <w:i/>
          <w:color w:val="5A6A72"/>
          <w:sz w:val="18"/>
        </w:rPr>
        <w:t>Revoyez l'analyse au moins lorsque le risque change — une nouvelle catégorie de données, un nouveau modèle d'IA, un nouveau destinataire, une nouvelle finalité.</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Date</w:t>
            </w:r>
          </w:p>
        </w:tc>
        <w:tc>
          <w:tcPr>
            <w:tcW w:type="dxa" w:w="2160"/>
            <w:shd w:val="clear" w:fill="F2C744"/>
          </w:tcPr>
          <w:p>
            <w:r>
              <w:rPr>
                <w:b/>
                <w:color w:val="0A2733"/>
                <w:sz w:val="17"/>
              </w:rPr>
              <w:t>Déclencheur</w:t>
            </w:r>
          </w:p>
        </w:tc>
        <w:tc>
          <w:tcPr>
            <w:tcW w:type="dxa" w:w="2160"/>
            <w:shd w:val="clear" w:fill="F2C744"/>
          </w:tcPr>
          <w:p>
            <w:r>
              <w:rPr>
                <w:b/>
                <w:color w:val="0A2733"/>
                <w:sz w:val="17"/>
              </w:rPr>
              <w:t>Changement</w:t>
            </w:r>
          </w:p>
        </w:tc>
        <w:tc>
          <w:tcPr>
            <w:tcW w:type="dxa" w:w="2160"/>
            <w:shd w:val="clear" w:fill="F2C744"/>
          </w:tcPr>
          <w:p>
            <w:r>
              <w:rPr>
                <w:b/>
                <w:color w:val="0A2733"/>
                <w:sz w:val="17"/>
              </w:rPr>
              <w:t>Issue</w:t>
            </w:r>
          </w:p>
        </w:tc>
      </w:tr>
      <w:tr>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r/>
    </w:p>
    <w:p>
      <w:pPr>
        <w:pStyle w:val="Heading1"/>
      </w:pPr>
      <w:r>
        <w:t>Annexe IA — fonctionnalités IA/LLM et règlement IA de l'UE</w:t>
      </w:r>
    </w:p>
    <w:p>
      <w:r>
        <w:rPr>
          <w:i/>
          <w:color w:val="5A6A72"/>
          <w:sz w:val="18"/>
        </w:rPr>
        <w:t>À compléter pour tout traitement piloté par l'IA (critère WP248 n° 8, plus typiquement les n° 1, 2 et 5). Pour les systèmes d'IA à haut risque lorsque vous êtes un déployeur dans le champ de l'art 27 du règlement IA de l'UE, l'analyse d'impact sur les droits fondamentaux (FRIA) peut être documentée conjointement avec cette AIPD — aucune analyse ne remplace l'autre.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Modèle / système</w:t>
            </w:r>
          </w:p>
        </w:tc>
        <w:tc>
          <w:tcPr>
            <w:tcW w:type="dxa" w:w="4320"/>
          </w:tcPr>
          <w:p>
            <w:r>
              <w:rPr>
                <w:i w:val="0"/>
                <w:color w:val="5A6A72"/>
                <w:sz w:val="17"/>
              </w:rPr>
              <w:t>Fournisseur, modèle, version</w:t>
            </w:r>
          </w:p>
        </w:tc>
      </w:tr>
      <w:tr>
        <w:tc>
          <w:tcPr>
            <w:tcW w:type="dxa" w:w="4320"/>
            <w:shd w:val="clear" w:fill="F5F1E8"/>
          </w:tcPr>
          <w:p>
            <w:r>
              <w:rPr>
                <w:b/>
                <w:color w:val="0A2733"/>
                <w:sz w:val="17"/>
              </w:rPr>
              <w:t>Provenance des données d'entraînement</w:t>
            </w:r>
          </w:p>
        </w:tc>
        <w:tc>
          <w:tcPr>
            <w:tcW w:type="dxa" w:w="4320"/>
          </w:tcPr>
          <w:p>
            <w:r>
              <w:rPr>
                <w:i/>
                <w:color w:val="5A6A72"/>
                <w:sz w:val="17"/>
              </w:rPr>
              <w:t>Données personnelles dans les données d'entraînement/de fine-tuning ? Documentation du fournisseur examinée ?</w:t>
            </w:r>
          </w:p>
        </w:tc>
      </w:tr>
      <w:tr>
        <w:tc>
          <w:tcPr>
            <w:tcW w:type="dxa" w:w="4320"/>
            <w:shd w:val="clear" w:fill="F5F1E8"/>
          </w:tcPr>
          <w:p>
            <w:r>
              <w:rPr>
                <w:b/>
                <w:color w:val="0A2733"/>
                <w:sz w:val="17"/>
              </w:rPr>
              <w:t>Décisions automatisées &amp; effets</w:t>
            </w:r>
          </w:p>
        </w:tc>
        <w:tc>
          <w:tcPr>
            <w:tcW w:type="dxa" w:w="4320"/>
          </w:tcPr>
          <w:p>
            <w:r>
              <w:rPr>
                <w:i w:val="0"/>
                <w:color w:val="5A6A72"/>
                <w:sz w:val="17"/>
              </w:rPr>
              <w:t>La sortie produit-elle des effets juridiques ou similaires significatifs (art 22 RGPD) ? Humain dans la boucle ?</w:t>
            </w:r>
          </w:p>
        </w:tc>
      </w:tr>
      <w:tr>
        <w:tc>
          <w:tcPr>
            <w:tcW w:type="dxa" w:w="4320"/>
            <w:shd w:val="clear" w:fill="F5F1E8"/>
          </w:tcPr>
          <w:p>
            <w:r>
              <w:rPr>
                <w:b/>
                <w:color w:val="0A2733"/>
                <w:sz w:val="17"/>
              </w:rPr>
              <w:t>Explicabilité &amp; supervision</w:t>
            </w:r>
          </w:p>
        </w:tc>
        <w:tc>
          <w:tcPr>
            <w:tcW w:type="dxa" w:w="4320"/>
          </w:tcPr>
          <w:p>
            <w:r>
              <w:rPr>
                <w:i w:val="0"/>
                <w:color w:val="5A6A72"/>
                <w:sz w:val="17"/>
              </w:rPr>
              <w:t>Les résultats peuvent-ils être expliqués aux personnes concernées ? Quelles mesures de supervision s'appliquent ?</w:t>
            </w:r>
          </w:p>
        </w:tc>
      </w:tr>
      <w:tr>
        <w:tc>
          <w:tcPr>
            <w:tcW w:type="dxa" w:w="4320"/>
            <w:shd w:val="clear" w:fill="F5F1E8"/>
          </w:tcPr>
          <w:p>
            <w:r>
              <w:rPr>
                <w:b/>
                <w:color w:val="0A2733"/>
                <w:sz w:val="17"/>
              </w:rPr>
              <w:t>Risques de biais / d'exactitude</w:t>
            </w:r>
          </w:p>
        </w:tc>
        <w:tc>
          <w:tcPr>
            <w:tcW w:type="dxa" w:w="4320"/>
          </w:tcPr>
          <w:p>
            <w:r>
              <w:rPr>
                <w:i w:val="0"/>
                <w:color w:val="5A6A72"/>
                <w:sz w:val="17"/>
              </w:rPr>
              <w:t>Tests réalisés ; modes de défaillance connus ; plan de surveillance</w:t>
            </w:r>
          </w:p>
        </w:tc>
      </w:tr>
      <w:tr>
        <w:tc>
          <w:tcPr>
            <w:tcW w:type="dxa" w:w="4320"/>
            <w:shd w:val="clear" w:fill="F5F1E8"/>
          </w:tcPr>
          <w:p>
            <w:r>
              <w:rPr>
                <w:b/>
                <w:color w:val="0A2733"/>
                <w:sz w:val="17"/>
              </w:rPr>
              <w:t>Classification au titre du règlement IA</w:t>
            </w:r>
          </w:p>
        </w:tc>
        <w:tc>
          <w:tcPr>
            <w:tcW w:type="dxa" w:w="4320"/>
          </w:tcPr>
          <w:p>
            <w:r>
              <w:rPr>
                <w:i w:val="0"/>
                <w:color w:val="5A6A72"/>
                <w:sz w:val="17"/>
              </w:rPr>
              <w:t>Interdit / Haut risque / Limité (transparence) / Minimal</w:t>
            </w:r>
          </w:p>
        </w:tc>
      </w:tr>
      <w:tr>
        <w:tc>
          <w:tcPr>
            <w:tcW w:type="dxa" w:w="4320"/>
            <w:shd w:val="clear" w:fill="F5F1E8"/>
          </w:tcPr>
          <w:p>
            <w:r>
              <w:rPr>
                <w:b/>
                <w:color w:val="0A2733"/>
                <w:sz w:val="17"/>
              </w:rPr>
              <w:t>Référence FRIA (art 27)</w:t>
            </w:r>
          </w:p>
        </w:tc>
        <w:tc>
          <w:tcPr>
            <w:tcW w:type="dxa" w:w="4320"/>
          </w:tcPr>
          <w:p>
            <w:r>
              <w:rPr>
                <w:i/>
                <w:color w:val="5A6A72"/>
                <w:sz w:val="17"/>
              </w:rPr>
              <w:t>Si haut risque et dans le champ : référence de la documentation conjointe</w:t>
            </w:r>
          </w:p>
        </w:tc>
      </w:tr>
    </w:tbl>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Modèle d'AIPD v1.0 · 2026-07-22 · orbiqhq.com/fr/modeles/modele-analyse-impact-protection-donnees-aipd · CC BY 4.0 · Ne constitue pas un conseil juridique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