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Pack de modèles de notification de violation RGPD</w:t>
      </w:r>
    </w:p>
    <w:p>
      <w:r>
        <w:rPr>
          <w:color w:val="5A6A72"/>
          <w:sz w:val="24"/>
        </w:rPr>
        <w:t>Notification à l'autorité (article 33) · Lettre aux personnes concernées (article 34) · Registre des violations (article 33(5))</w:t>
      </w:r>
    </w:p>
    <w:p>
      <w:r>
        <w:rPr>
          <w:b/>
          <w:color w:val="B88A00"/>
          <w:sz w:val="18"/>
        </w:rPr>
        <w:t>MODÈLE GRATUIT — DOCX · PDF · MD    |    Version 1.0 · Mise à jour 2026-07-15</w:t>
      </w:r>
    </w:p>
    <w:p/>
    <w:p>
      <w:pPr>
        <w:pStyle w:val="Heading2"/>
      </w:pPr>
      <w:r>
        <w:t>Comment utiliser ce pack</w:t>
      </w:r>
    </w:p>
    <w:p>
      <w:pPr>
        <w:pStyle w:val="ListBullet"/>
      </w:pPr>
      <w:r>
        <w:rPr>
          <w:sz w:val="20"/>
        </w:rPr>
        <w:t>Document A — à déposer auprès de votre autorité de contrôle dans les meilleurs délais et, si possible, 72 heures au plus tard après la prise de connaissance de la violation (RGPD, art 33(1)). Utilisez l'indicateur d'échelonnement si les informations sont incomplètes (art 33(4)).</w:t>
      </w:r>
    </w:p>
    <w:p>
      <w:pPr>
        <w:pStyle w:val="ListBullet"/>
      </w:pPr>
      <w:r>
        <w:rPr>
          <w:sz w:val="20"/>
        </w:rPr>
        <w:t>Document B — à envoyer aux personnes concernées affectées dans les meilleurs délais lorsque la violation est susceptible d'engendrer un risque ÉLEVÉ pour leurs droits et libertés (art 34(1)), sauf si une exception de l'art 34(3) s'applique.</w:t>
      </w:r>
    </w:p>
    <w:p>
      <w:pPr>
        <w:pStyle w:val="ListBullet"/>
      </w:pPr>
      <w:r>
        <w:rPr>
          <w:sz w:val="20"/>
        </w:rPr>
        <w:t>Document C — à compléter pour CHAQUE violation, y compris celles que vous décidez de ne pas notifier (art 33(5)).</w:t>
      </w:r>
    </w:p>
    <w:p>
      <w:pPr>
        <w:pStyle w:val="ListBullet"/>
      </w:pPr>
      <w:r>
        <w:rPr>
          <w:sz w:val="20"/>
        </w:rPr>
        <w:t>Document D — aide à la décision d'une page : quels documents cet incident exige-t-il ?</w:t>
      </w:r>
    </w:p>
    <w:p>
      <w:r>
        <w:rPr>
          <w:i/>
          <w:color w:val="5A6A72"/>
          <w:sz w:val="18"/>
        </w:rPr>
        <w:t>L'horloge des 72 heures court à partir de la prise de connaissance — le moment où une personne responsable conclut avec une certitude raisonnable que des données personnelles ont été compromises (lignes directrices 9/2022 du CEPD) — et non de la fin de la forensique. France : dépôt auprès de la CNIL via le téléservice « Notifier une violation de données personnelles ». Royaume-Uni : dépôt auprès de l'ICO (formulaire en ligne ou téléphone). Norvège : dépôt auprès du Datatilsynet via Altinn. Transfrontière dans l'UE/EEE : dépôt auprès de votre autorité de contrôle chef de file (art 56).</w:t>
      </w:r>
    </w:p>
    <w:p>
      <w:r/>
    </w:p>
    <w:p>
      <w:pPr>
        <w:pStyle w:val="Heading1"/>
      </w:pPr>
      <w:r>
        <w:t>Document A — Notification à l'autorité de contrôle (article 33)</w:t>
      </w:r>
    </w:p>
    <w:p>
      <w:r>
        <w:rPr>
          <w:i/>
          <w:color w:val="5A6A72"/>
          <w:sz w:val="18"/>
        </w:rPr>
        <w:t>Complétez chaque section. Les sections 2 à 5 correspondent à l'article 33(3)(a)–(d) — le contenu minimal légal. Indiquez le type de notification et consignez chaque dépôt dans le journal des mises à jour du document C.</w:t>
      </w:r>
    </w:p>
    <w:p>
      <w:pPr>
        <w:pStyle w:val="Heading3"/>
      </w:pPr>
      <w:r>
        <w:t>A.1 Détails du dépôt</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À (autorité de contrôle)</w:t>
            </w:r>
          </w:p>
        </w:tc>
        <w:tc>
          <w:tcPr>
            <w:tcW w:type="dxa" w:w="6192"/>
          </w:tcPr>
          <w:p>
            <w:r>
              <w:rPr>
                <w:i/>
                <w:color w:val="5A6A72"/>
                <w:sz w:val="18"/>
              </w:rPr>
              <w:t>Autorité compétente ; l'autorité de contrôle chef de file si transfrontière (art 56)</w:t>
            </w:r>
          </w:p>
        </w:tc>
      </w:tr>
      <w:tr>
        <w:tc>
          <w:tcPr>
            <w:tcW w:type="dxa" w:w="3168"/>
            <w:shd w:val="clear" w:fill="F5F1E8"/>
          </w:tcPr>
          <w:p>
            <w:r>
              <w:rPr>
                <w:b/>
                <w:color w:val="0A2733"/>
                <w:sz w:val="18"/>
              </w:rPr>
              <w:t>De (responsable du traitement)</w:t>
            </w:r>
          </w:p>
        </w:tc>
        <w:tc>
          <w:tcPr>
            <w:tcW w:type="dxa" w:w="6192"/>
          </w:tcPr>
          <w:p>
            <w:r>
              <w:rPr>
                <w:i/>
                <w:color w:val="5A6A72"/>
                <w:sz w:val="18"/>
              </w:rPr>
              <w:t>Dénomination de l'entité juridique et adresse du siège</w:t>
            </w:r>
          </w:p>
        </w:tc>
      </w:tr>
      <w:tr>
        <w:tc>
          <w:tcPr>
            <w:tcW w:type="dxa" w:w="3168"/>
            <w:shd w:val="clear" w:fill="F5F1E8"/>
          </w:tcPr>
          <w:p>
            <w:r>
              <w:rPr>
                <w:b/>
                <w:color w:val="0A2733"/>
                <w:sz w:val="18"/>
              </w:rPr>
              <w:t>Référence de l'incident</w:t>
            </w:r>
          </w:p>
        </w:tc>
        <w:tc>
          <w:tcPr>
            <w:tcW w:type="dxa" w:w="6192"/>
          </w:tcPr>
          <w:p>
            <w:r>
              <w:rPr>
                <w:i/>
                <w:color w:val="5A6A72"/>
                <w:sz w:val="18"/>
              </w:rPr>
              <w:t>ID interne, p. ex. BREACH-2026-007</w:t>
            </w:r>
          </w:p>
        </w:tc>
      </w:tr>
      <w:tr>
        <w:tc>
          <w:tcPr>
            <w:tcW w:type="dxa" w:w="3168"/>
            <w:shd w:val="clear" w:fill="F5F1E8"/>
          </w:tcPr>
          <w:p>
            <w:r>
              <w:rPr>
                <w:b/>
                <w:color w:val="0A2733"/>
                <w:sz w:val="18"/>
              </w:rPr>
              <w:t>Type de notification</w:t>
            </w:r>
          </w:p>
        </w:tc>
        <w:tc>
          <w:tcPr>
            <w:tcW w:type="dxa" w:w="6192"/>
          </w:tcPr>
          <w:p>
            <w:r>
              <w:rPr>
                <w:i/>
                <w:color w:val="5A6A72"/>
                <w:sz w:val="18"/>
              </w:rPr>
              <w:t>Initiale / Mise à jour / Finale (notification échelonnée, art 33(4))</w:t>
            </w:r>
          </w:p>
        </w:tc>
      </w:tr>
      <w:tr>
        <w:tc>
          <w:tcPr>
            <w:tcW w:type="dxa" w:w="3168"/>
            <w:shd w:val="clear" w:fill="F5F1E8"/>
          </w:tcPr>
          <w:p>
            <w:r>
              <w:rPr>
                <w:b/>
                <w:color w:val="0A2733"/>
                <w:sz w:val="18"/>
              </w:rPr>
              <w:t>Déposée le (date &amp; heure)</w:t>
            </w:r>
          </w:p>
        </w:tc>
        <w:tc>
          <w:tcPr>
            <w:tcW w:type="dxa" w:w="6192"/>
          </w:tcPr>
          <w:p>
            <w:r>
              <w:rPr>
                <w:i/>
                <w:color w:val="5A6A72"/>
                <w:sz w:val="18"/>
              </w:rPr>
              <w:t>Horodatage de ce dépôt</w:t>
            </w:r>
          </w:p>
        </w:tc>
      </w:tr>
    </w:tbl>
    <w:p/>
    <w:p>
      <w:pPr>
        <w:pStyle w:val="Heading3"/>
      </w:pPr>
      <w:r>
        <w:t>A.2 Prise de connaissance et chronologie (art 33(1))</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Horodatage de prise de connaissance</w:t>
            </w:r>
          </w:p>
        </w:tc>
        <w:tc>
          <w:tcPr>
            <w:tcW w:type="dxa" w:w="6192"/>
          </w:tcPr>
          <w:p>
            <w:r>
              <w:rPr>
                <w:i/>
                <w:color w:val="5A6A72"/>
                <w:sz w:val="18"/>
              </w:rPr>
              <w:t>Quand une personne responsable a conclu qu'une violation s'était probablement produite — démarre l'horloge des 72 heures</w:t>
            </w:r>
          </w:p>
        </w:tc>
      </w:tr>
      <w:tr>
        <w:tc>
          <w:tcPr>
            <w:tcW w:type="dxa" w:w="3168"/>
            <w:shd w:val="clear" w:fill="F5F1E8"/>
          </w:tcPr>
          <w:p>
            <w:r>
              <w:rPr>
                <w:b/>
                <w:color w:val="0A2733"/>
                <w:sz w:val="18"/>
              </w:rPr>
              <w:t>Comment nous en avons eu connaissance</w:t>
            </w:r>
          </w:p>
        </w:tc>
        <w:tc>
          <w:tcPr>
            <w:tcW w:type="dxa" w:w="6192"/>
          </w:tcPr>
          <w:p>
            <w:r>
              <w:rPr>
                <w:i/>
                <w:color w:val="5A6A72"/>
                <w:sz w:val="18"/>
              </w:rPr>
              <w:t>Alerte, avis d'un sous-traitant au titre de l'art 33(2), signalement d'un client, constat d'audit…</w:t>
            </w:r>
          </w:p>
        </w:tc>
      </w:tr>
      <w:tr>
        <w:tc>
          <w:tcPr>
            <w:tcW w:type="dxa" w:w="3168"/>
            <w:shd w:val="clear" w:fill="F5F1E8"/>
          </w:tcPr>
          <w:p>
            <w:r>
              <w:rPr>
                <w:b/>
                <w:color w:val="0A2733"/>
                <w:sz w:val="18"/>
              </w:rPr>
              <w:t>Motifs du retard</w:t>
            </w:r>
          </w:p>
        </w:tc>
        <w:tc>
          <w:tcPr>
            <w:tcW w:type="dxa" w:w="6192"/>
          </w:tcPr>
          <w:p>
            <w:r>
              <w:rPr>
                <w:i/>
                <w:color w:val="5A6A72"/>
                <w:sz w:val="18"/>
              </w:rPr>
              <w:t>OBLIGATOIRE si ce dépôt intervient plus de 72 heures après la prise de connaissance ; sinon n/a</w:t>
            </w:r>
          </w:p>
        </w:tc>
      </w:tr>
    </w:tbl>
    <w:p/>
    <w:p>
      <w:pPr>
        <w:pStyle w:val="Heading3"/>
      </w:pPr>
      <w:r>
        <w:t>A.3 Nature de la violation (art 33(3)(a))</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Ce qui s'est passé</w:t>
            </w:r>
          </w:p>
        </w:tc>
        <w:tc>
          <w:tcPr>
            <w:tcW w:type="dxa" w:w="6192"/>
          </w:tcPr>
          <w:p>
            <w:r>
              <w:rPr>
                <w:i/>
                <w:color w:val="5A6A72"/>
                <w:sz w:val="18"/>
              </w:rPr>
              <w:t>Décrivez l'incident et sa cause ; précisez s'il s'agit d'une violation de confidentialité, d'intégrité et/ou de disponibilité</w:t>
            </w:r>
          </w:p>
        </w:tc>
      </w:tr>
      <w:tr>
        <w:tc>
          <w:tcPr>
            <w:tcW w:type="dxa" w:w="3168"/>
            <w:shd w:val="clear" w:fill="F5F1E8"/>
          </w:tcPr>
          <w:p>
            <w:r>
              <w:rPr>
                <w:b/>
                <w:color w:val="0A2733"/>
                <w:sz w:val="18"/>
              </w:rPr>
              <w:t>Catégories de personnes concernées</w:t>
            </w:r>
          </w:p>
        </w:tc>
        <w:tc>
          <w:tcPr>
            <w:tcW w:type="dxa" w:w="6192"/>
          </w:tcPr>
          <w:p>
            <w:r>
              <w:rPr>
                <w:i/>
                <w:color w:val="5A6A72"/>
                <w:sz w:val="18"/>
              </w:rPr>
              <w:t>P. ex. clients, salariés, utilisateurs finaux des clients</w:t>
            </w:r>
          </w:p>
        </w:tc>
      </w:tr>
      <w:tr>
        <w:tc>
          <w:tcPr>
            <w:tcW w:type="dxa" w:w="3168"/>
            <w:shd w:val="clear" w:fill="F5F1E8"/>
          </w:tcPr>
          <w:p>
            <w:r>
              <w:rPr>
                <w:b/>
                <w:color w:val="0A2733"/>
                <w:sz w:val="18"/>
              </w:rPr>
              <w:t>Nombre approx. de personnes concernées</w:t>
            </w:r>
          </w:p>
        </w:tc>
        <w:tc>
          <w:tcPr>
            <w:tcW w:type="dxa" w:w="6192"/>
          </w:tcPr>
          <w:p>
            <w:r>
              <w:rPr>
                <w:i/>
                <w:color w:val="5A6A72"/>
                <w:sz w:val="18"/>
              </w:rPr>
              <w:t>Nombre ou fourchette ; à mettre à jour dans les dépôts ultérieurs si cela change</w:t>
            </w:r>
          </w:p>
        </w:tc>
      </w:tr>
      <w:tr>
        <w:tc>
          <w:tcPr>
            <w:tcW w:type="dxa" w:w="3168"/>
            <w:shd w:val="clear" w:fill="F5F1E8"/>
          </w:tcPr>
          <w:p>
            <w:r>
              <w:rPr>
                <w:b/>
                <w:color w:val="0A2733"/>
                <w:sz w:val="18"/>
              </w:rPr>
              <w:t>Catégories de données personnelles</w:t>
            </w:r>
          </w:p>
        </w:tc>
        <w:tc>
          <w:tcPr>
            <w:tcW w:type="dxa" w:w="6192"/>
          </w:tcPr>
          <w:p>
            <w:r>
              <w:rPr>
                <w:i/>
                <w:color w:val="5A6A72"/>
                <w:sz w:val="18"/>
              </w:rPr>
              <w:t>P. ex. données de contact, identifiants, données financières — signaler explicitement les catégories particulières (art 9)</w:t>
            </w:r>
          </w:p>
        </w:tc>
      </w:tr>
      <w:tr>
        <w:tc>
          <w:tcPr>
            <w:tcW w:type="dxa" w:w="3168"/>
            <w:shd w:val="clear" w:fill="F5F1E8"/>
          </w:tcPr>
          <w:p>
            <w:r>
              <w:rPr>
                <w:b/>
                <w:color w:val="0A2733"/>
                <w:sz w:val="18"/>
              </w:rPr>
              <w:t>Nombre approx. d'enregistrements</w:t>
            </w:r>
          </w:p>
        </w:tc>
        <w:tc>
          <w:tcPr>
            <w:tcW w:type="dxa" w:w="6192"/>
          </w:tcPr>
          <w:p>
            <w:r>
              <w:rPr>
                <w:i/>
                <w:color w:val="5A6A72"/>
                <w:sz w:val="18"/>
              </w:rPr>
              <w:t>Nombre ou fourchette</w:t>
            </w:r>
          </w:p>
        </w:tc>
      </w:tr>
    </w:tbl>
    <w:p/>
    <w:p>
      <w:pPr>
        <w:pStyle w:val="Heading3"/>
      </w:pPr>
      <w:r>
        <w:t>A.4 Point de contact (art 33(3)(b))</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DPO / point de contact</w:t>
            </w:r>
          </w:p>
        </w:tc>
        <w:tc>
          <w:tcPr>
            <w:tcW w:type="dxa" w:w="6192"/>
          </w:tcPr>
          <w:p>
            <w:r>
              <w:rPr>
                <w:i/>
                <w:color w:val="5A6A72"/>
                <w:sz w:val="18"/>
              </w:rPr>
              <w:t>Nom, rôle, e-mail, téléphone — où l'autorité peut obtenir davantage d'informations</w:t>
            </w:r>
          </w:p>
        </w:tc>
      </w:tr>
    </w:tbl>
    <w:p/>
    <w:p>
      <w:pPr>
        <w:pStyle w:val="Heading3"/>
      </w:pPr>
      <w:r>
        <w:t>A.5 Conséquences probables (art 33(3)(c))</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Conséquences probables</w:t>
            </w:r>
          </w:p>
        </w:tc>
        <w:tc>
          <w:tcPr>
            <w:tcW w:type="dxa" w:w="6192"/>
          </w:tcPr>
          <w:p>
            <w:r>
              <w:rPr>
                <w:i/>
                <w:color w:val="5A6A72"/>
                <w:sz w:val="18"/>
              </w:rPr>
              <w:t>Préjudices réalistes : usurpation d'identité, fraude, perte financière, atteinte à la réputation, exposition de catégories particulières</w:t>
            </w:r>
          </w:p>
        </w:tc>
      </w:tr>
    </w:tbl>
    <w:p/>
    <w:p>
      <w:pPr>
        <w:pStyle w:val="Heading3"/>
      </w:pPr>
      <w:r>
        <w:t>A.6 Mesures prises ou proposées (art 33(3)(d))</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Confinement &amp; remédiation</w:t>
            </w:r>
          </w:p>
        </w:tc>
        <w:tc>
          <w:tcPr>
            <w:tcW w:type="dxa" w:w="6192"/>
          </w:tcPr>
          <w:p>
            <w:r>
              <w:rPr>
                <w:i/>
                <w:color w:val="5A6A72"/>
                <w:sz w:val="18"/>
              </w:rPr>
              <w:t>Ce qui a été fait pour remédier à la violation</w:t>
            </w:r>
          </w:p>
        </w:tc>
      </w:tr>
      <w:tr>
        <w:tc>
          <w:tcPr>
            <w:tcW w:type="dxa" w:w="3168"/>
            <w:shd w:val="clear" w:fill="F5F1E8"/>
          </w:tcPr>
          <w:p>
            <w:r>
              <w:rPr>
                <w:b/>
                <w:color w:val="0A2733"/>
                <w:sz w:val="18"/>
              </w:rPr>
              <w:t>Atténuation des effets négatifs</w:t>
            </w:r>
          </w:p>
        </w:tc>
        <w:tc>
          <w:tcPr>
            <w:tcW w:type="dxa" w:w="6192"/>
          </w:tcPr>
          <w:p>
            <w:r>
              <w:rPr>
                <w:i/>
                <w:color w:val="5A6A72"/>
                <w:sz w:val="18"/>
              </w:rPr>
              <w:t>Mesures réduisant le préjudice pour les personnes concernées, p. ex. réinitialisation forcée des mots de passe, révocation des identifiants</w:t>
            </w:r>
          </w:p>
        </w:tc>
      </w:tr>
    </w:tbl>
    <w:p/>
    <w:p>
      <w:pPr>
        <w:pStyle w:val="Heading3"/>
      </w:pPr>
      <w:r>
        <w:t>A.7 Position sur la communication aux personnes concernées</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Évaluation du risque</w:t>
            </w:r>
          </w:p>
        </w:tc>
        <w:tc>
          <w:tcPr>
            <w:tcW w:type="dxa" w:w="6192"/>
          </w:tcPr>
          <w:p>
            <w:r>
              <w:rPr>
                <w:i/>
                <w:color w:val="5A6A72"/>
                <w:sz w:val="18"/>
              </w:rPr>
              <w:t>Risque peu probable / risque / risque élevé — avec un bref raisonnement</w:t>
            </w:r>
          </w:p>
        </w:tc>
      </w:tr>
      <w:tr>
        <w:tc>
          <w:tcPr>
            <w:tcW w:type="dxa" w:w="3168"/>
            <w:shd w:val="clear" w:fill="F5F1E8"/>
          </w:tcPr>
          <w:p>
            <w:r>
              <w:rPr>
                <w:b/>
                <w:color w:val="0A2733"/>
                <w:sz w:val="18"/>
              </w:rPr>
              <w:t>Position au titre de l'article 34</w:t>
            </w:r>
          </w:p>
        </w:tc>
        <w:tc>
          <w:tcPr>
            <w:tcW w:type="dxa" w:w="6192"/>
          </w:tcPr>
          <w:p>
            <w:r>
              <w:rPr>
                <w:i/>
                <w:color w:val="5A6A72"/>
                <w:sz w:val="18"/>
              </w:rPr>
              <w:t>Communication envoyée ou prévue (date), ou exception invoquée : 34(3)(a) données incompréhensibles, 34(3)(b) risque écarté, 34(3)(c) communication publique</w:t>
            </w:r>
          </w:p>
        </w:tc>
      </w:tr>
    </w:tbl>
    <w:p/>
    <w:p>
      <w:pPr>
        <w:pStyle w:val="Heading3"/>
      </w:pPr>
      <w:r>
        <w:t>A.8 Traitement transfrontière (art 56)</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Transfrontière ?</w:t>
            </w:r>
          </w:p>
        </w:tc>
        <w:tc>
          <w:tcPr>
            <w:tcW w:type="dxa" w:w="6192"/>
          </w:tcPr>
          <w:p>
            <w:r>
              <w:rPr>
                <w:i/>
                <w:color w:val="5A6A72"/>
                <w:sz w:val="18"/>
              </w:rPr>
              <w:t>Des personnes concernées dans plus d'un État membre sont-elles affectées ?</w:t>
            </w:r>
          </w:p>
        </w:tc>
      </w:tr>
      <w:tr>
        <w:tc>
          <w:tcPr>
            <w:tcW w:type="dxa" w:w="3168"/>
            <w:shd w:val="clear" w:fill="F5F1E8"/>
          </w:tcPr>
          <w:p>
            <w:r>
              <w:rPr>
                <w:b/>
                <w:color w:val="0A2733"/>
                <w:sz w:val="18"/>
              </w:rPr>
              <w:t>Fondement de l'autorité chef de file</w:t>
            </w:r>
          </w:p>
        </w:tc>
        <w:tc>
          <w:tcPr>
            <w:tcW w:type="dxa" w:w="6192"/>
          </w:tcPr>
          <w:p>
            <w:r>
              <w:rPr>
                <w:i/>
                <w:color w:val="5A6A72"/>
                <w:sz w:val="18"/>
              </w:rPr>
              <w:t>Raisonnement d'établissement principal identifiant l'autorité de contrôle chef de file</w:t>
            </w:r>
          </w:p>
        </w:tc>
      </w:tr>
    </w:tbl>
    <w:p/>
    <w:p>
      <w:r/>
    </w:p>
    <w:p>
      <w:pPr>
        <w:pStyle w:val="Heading1"/>
      </w:pPr>
      <w:r>
        <w:t>Document B — Communication aux personnes concernées (article 34)</w:t>
      </w:r>
    </w:p>
    <w:p>
      <w:r>
        <w:rPr>
          <w:i/>
          <w:color w:val="5A6A72"/>
          <w:sz w:val="18"/>
        </w:rPr>
        <w:t>Requise dans les meilleurs délais lorsque la violation est susceptible d'engendrer un risque ÉLEVÉ pour les droits et libertés des personnes concernées. Doit être rédigée en termes clairs et simples et contenir au moins le point de contact, les conséquences probables et les mesures (art 34(2) → art 33(3)(b),(c),(d)). Remplacez le texte entre crochets ; faites des phrases courtes ; évitez le jargon technique et juridique.</w:t>
      </w:r>
    </w:p>
    <w:p>
      <w:r>
        <w:rPr>
          <w:b/>
          <w:color w:val="0A2733"/>
        </w:rPr>
        <w:t xml:space="preserve">Objet : </w:t>
      </w:r>
      <w:r>
        <w:rPr>
          <w:i w:val="0"/>
          <w:color w:val="5A6A72"/>
        </w:rPr>
        <w:t>Information importante concernant la sécurité de vos données personnelles</w:t>
      </w:r>
    </w:p>
    <w:p>
      <w:r>
        <w:rPr>
          <w:b w:val="0"/>
        </w:rPr>
        <w:t>Madame, Monsieur [nom du client],</w:t>
      </w:r>
    </w:p>
    <w:p>
      <w:r>
        <w:rPr>
          <w:b/>
          <w:color w:val="0A2733"/>
        </w:rPr>
        <w:t xml:space="preserve">Ce qui s'est passé </w:t>
      </w:r>
      <w:r>
        <w:rPr>
          <w:i w:val="0"/>
          <w:color w:val="5A6A72"/>
        </w:rPr>
        <w:t>Le [date], nous avons découvert un incident de sécurité des données chez [Société]. [Une ou deux phrases en langage simple : ce qui s'est passé et quand cela a été contenu.]</w:t>
      </w:r>
    </w:p>
    <w:p>
      <w:r>
        <w:rPr>
          <w:b/>
          <w:color w:val="0A2733"/>
        </w:rPr>
        <w:t xml:space="preserve">Quelles informations sont concernées </w:t>
      </w:r>
      <w:r>
        <w:rPr>
          <w:i/>
          <w:color w:val="5A6A72"/>
        </w:rPr>
        <w:t>[Les catégories de vos données personnelles affectées — p. ex. nom, adresse e-mail, mot de passe haché. Indiquez clairement ce qui n'a PAS été affecté, p. ex. les données de paiement.]</w:t>
      </w:r>
    </w:p>
    <w:p>
      <w:r>
        <w:rPr>
          <w:b/>
          <w:color w:val="0A2733"/>
        </w:rPr>
        <w:t xml:space="preserve">Ce que cela peut signifier pour vous </w:t>
      </w:r>
      <w:r>
        <w:rPr>
          <w:i/>
          <w:color w:val="5A6A72"/>
        </w:rPr>
        <w:t>[Les conséquences réalistes — p. ex. des e-mails d'hameçonnage qui semblent provenir de nous, des tentatives de connexion avec votre adresse e-mail.]</w:t>
      </w:r>
    </w:p>
    <w:p>
      <w:r>
        <w:rPr>
          <w:b/>
          <w:color w:val="0A2733"/>
        </w:rPr>
        <w:t xml:space="preserve">Ce que nous faisons </w:t>
      </w:r>
      <w:r>
        <w:rPr>
          <w:i/>
          <w:color w:val="5A6A72"/>
        </w:rPr>
        <w:t>[Confinement, enquête, notification de l'autorité de contrôle, améliorations de sécurité.]</w:t>
      </w:r>
    </w:p>
    <w:p>
      <w:r>
        <w:rPr>
          <w:b/>
          <w:color w:val="0A2733"/>
        </w:rPr>
        <w:t xml:space="preserve">Ce que vous pouvez faire </w:t>
      </w:r>
      <w:r>
        <w:rPr>
          <w:i/>
          <w:color w:val="5A6A72"/>
        </w:rPr>
        <w:t>[Mesures concrètes : réinitialisez votre mot de passe, activez l'authentification à deux facteurs, méfiez-vous des e-mails suspects, surveillez vos relevés de compte. Soyez précis.]</w:t>
      </w:r>
    </w:p>
    <w:p>
      <w:r>
        <w:rPr>
          <w:b/>
          <w:color w:val="0A2733"/>
        </w:rPr>
        <w:t xml:space="preserve">Où obtenir plus d'informations </w:t>
      </w:r>
      <w:r>
        <w:rPr>
          <w:i/>
          <w:color w:val="5A6A72"/>
        </w:rPr>
        <w:t>[DPO / point de contact : nom, e-mail, téléphone — et une page d'état si disponible.]</w:t>
      </w:r>
    </w:p>
    <w:p>
      <w:r>
        <w:rPr>
          <w:b/>
          <w:color w:val="0A2733"/>
        </w:rPr>
        <w:t xml:space="preserve">Conclusion </w:t>
      </w:r>
      <w:r>
        <w:rPr>
          <w:i w:val="0"/>
          <w:color w:val="5A6A72"/>
        </w:rPr>
        <w:t>Nous vous présentons nos excuses pour l'inquiétude que cet incident peut causer. Nous vous tiendrons informé(e) de l'avancement de notre enquête. — [Nom, rôle, Société]</w:t>
      </w:r>
    </w:p>
    <w:p>
      <w:pPr>
        <w:pStyle w:val="Heading3"/>
      </w:pPr>
      <w:r>
        <w:t>Variante communication publique (art 34(3)(c))</w:t>
      </w:r>
    </w:p>
    <w:p>
      <w:r>
        <w:rPr>
          <w:i/>
          <w:color w:val="5A6A72"/>
          <w:sz w:val="18"/>
        </w:rPr>
        <w:t>Si contacter individuellement chaque personne concernée exigerait des efforts disproportionnés, publiez le même contenu sous forme de communication publique (bandeau sur le site web, communiqué de presse) informant les personnes concernées de manière tout aussi efficace — et consignez le choix du canal et le raisonnement dans le document C.</w:t>
      </w:r>
    </w:p>
    <w:p>
      <w:r/>
    </w:p>
    <w:p>
      <w:pPr>
        <w:pStyle w:val="Heading1"/>
      </w:pPr>
      <w:r>
        <w:t>Document C — Fiche de registre interne des violations (article 33(5))</w:t>
      </w:r>
    </w:p>
    <w:p>
      <w:r>
        <w:rPr>
          <w:i/>
          <w:color w:val="5A6A72"/>
          <w:sz w:val="18"/>
        </w:rPr>
        <w:t>Complétez une fiche par incident — y compris pour les violations que vous décidez de NE PAS notifier. Ce registre est le moyen par lequel une autorité de contrôle vérifie la conformité à l'article 33.</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Référence de l'incident</w:t>
            </w:r>
          </w:p>
        </w:tc>
        <w:tc>
          <w:tcPr>
            <w:tcW w:type="dxa" w:w="6192"/>
          </w:tcPr>
          <w:p>
            <w:r>
              <w:rPr>
                <w:i/>
                <w:color w:val="5A6A72"/>
                <w:sz w:val="18"/>
              </w:rPr>
              <w:t>ID interne</w:t>
            </w:r>
          </w:p>
        </w:tc>
      </w:tr>
      <w:tr>
        <w:tc>
          <w:tcPr>
            <w:tcW w:type="dxa" w:w="3168"/>
            <w:shd w:val="clear" w:fill="F5F1E8"/>
          </w:tcPr>
          <w:p>
            <w:r>
              <w:rPr>
                <w:b/>
                <w:color w:val="0A2733"/>
                <w:sz w:val="18"/>
              </w:rPr>
              <w:t>Horodatage / mode de prise de connaissance</w:t>
            </w:r>
          </w:p>
        </w:tc>
        <w:tc>
          <w:tcPr>
            <w:tcW w:type="dxa" w:w="6192"/>
          </w:tcPr>
          <w:p>
            <w:r>
              <w:rPr>
                <w:i/>
                <w:color w:val="5A6A72"/>
                <w:sz w:val="18"/>
              </w:rPr>
              <w:t>Quand l'horloge a démarré et ce qui a déclenché la prise de connaissance</w:t>
            </w:r>
          </w:p>
        </w:tc>
      </w:tr>
      <w:tr>
        <w:tc>
          <w:tcPr>
            <w:tcW w:type="dxa" w:w="3168"/>
            <w:shd w:val="clear" w:fill="F5F1E8"/>
          </w:tcPr>
          <w:p>
            <w:r>
              <w:rPr>
                <w:b/>
                <w:color w:val="0A2733"/>
                <w:sz w:val="18"/>
              </w:rPr>
              <w:t>Faits de la violation</w:t>
            </w:r>
          </w:p>
        </w:tc>
        <w:tc>
          <w:tcPr>
            <w:tcW w:type="dxa" w:w="6192"/>
          </w:tcPr>
          <w:p>
            <w:r>
              <w:rPr>
                <w:i/>
                <w:color w:val="5A6A72"/>
                <w:sz w:val="18"/>
              </w:rPr>
              <w:t>Nature, cause, personnes concernées et enregistrements affectés</w:t>
            </w:r>
          </w:p>
        </w:tc>
      </w:tr>
      <w:tr>
        <w:tc>
          <w:tcPr>
            <w:tcW w:type="dxa" w:w="3168"/>
            <w:shd w:val="clear" w:fill="F5F1E8"/>
          </w:tcPr>
          <w:p>
            <w:r>
              <w:rPr>
                <w:b/>
                <w:color w:val="0A2733"/>
                <w:sz w:val="18"/>
              </w:rPr>
              <w:t>Effets</w:t>
            </w:r>
          </w:p>
        </w:tc>
        <w:tc>
          <w:tcPr>
            <w:tcW w:type="dxa" w:w="6192"/>
          </w:tcPr>
          <w:p>
            <w:r>
              <w:rPr>
                <w:i/>
                <w:color w:val="5A6A72"/>
                <w:sz w:val="18"/>
              </w:rPr>
              <w:t>Conséquences réelles et probables observées</w:t>
            </w:r>
          </w:p>
        </w:tc>
      </w:tr>
      <w:tr>
        <w:tc>
          <w:tcPr>
            <w:tcW w:type="dxa" w:w="3168"/>
            <w:shd w:val="clear" w:fill="F5F1E8"/>
          </w:tcPr>
          <w:p>
            <w:r>
              <w:rPr>
                <w:b/>
                <w:color w:val="0A2733"/>
                <w:sz w:val="18"/>
              </w:rPr>
              <w:t>Évaluation du risque &amp; raisonnement</w:t>
            </w:r>
          </w:p>
        </w:tc>
        <w:tc>
          <w:tcPr>
            <w:tcW w:type="dxa" w:w="6192"/>
          </w:tcPr>
          <w:p>
            <w:r>
              <w:rPr>
                <w:i/>
                <w:color w:val="5A6A72"/>
                <w:sz w:val="18"/>
              </w:rPr>
              <w:t>Risque peu probable / risque / risque élevé — et pourquoi</w:t>
            </w:r>
          </w:p>
        </w:tc>
      </w:tr>
      <w:tr>
        <w:tc>
          <w:tcPr>
            <w:tcW w:type="dxa" w:w="3168"/>
            <w:shd w:val="clear" w:fill="F5F1E8"/>
          </w:tcPr>
          <w:p>
            <w:r>
              <w:rPr>
                <w:b/>
                <w:color w:val="0A2733"/>
                <w:sz w:val="18"/>
              </w:rPr>
              <w:t>Autorité notifiée ?</w:t>
            </w:r>
          </w:p>
        </w:tc>
        <w:tc>
          <w:tcPr>
            <w:tcW w:type="dxa" w:w="6192"/>
          </w:tcPr>
          <w:p>
            <w:r>
              <w:rPr>
                <w:i/>
                <w:color w:val="5A6A72"/>
                <w:sz w:val="18"/>
              </w:rPr>
              <w:t>Oui (date, référence) / Non — raisonnement : peu susceptible d'engendrer un risque</w:t>
            </w:r>
          </w:p>
        </w:tc>
      </w:tr>
      <w:tr>
        <w:tc>
          <w:tcPr>
            <w:tcW w:type="dxa" w:w="3168"/>
            <w:shd w:val="clear" w:fill="F5F1E8"/>
          </w:tcPr>
          <w:p>
            <w:r>
              <w:rPr>
                <w:b/>
                <w:color w:val="0A2733"/>
                <w:sz w:val="18"/>
              </w:rPr>
              <w:t>Personnes concernées informées ?</w:t>
            </w:r>
          </w:p>
        </w:tc>
        <w:tc>
          <w:tcPr>
            <w:tcW w:type="dxa" w:w="6192"/>
          </w:tcPr>
          <w:p>
            <w:r>
              <w:rPr>
                <w:i/>
                <w:color w:val="5A6A72"/>
                <w:sz w:val="18"/>
              </w:rPr>
              <w:t>Oui (date, canal) / Non — quelle exception de l'art 34(3) et pourquoi</w:t>
            </w:r>
          </w:p>
        </w:tc>
      </w:tr>
      <w:tr>
        <w:tc>
          <w:tcPr>
            <w:tcW w:type="dxa" w:w="3168"/>
            <w:shd w:val="clear" w:fill="F5F1E8"/>
          </w:tcPr>
          <w:p>
            <w:r>
              <w:rPr>
                <w:b/>
                <w:color w:val="0A2733"/>
                <w:sz w:val="18"/>
              </w:rPr>
              <w:t>Avis du sous-traitant (art 33(2))</w:t>
            </w:r>
          </w:p>
        </w:tc>
        <w:tc>
          <w:tcPr>
            <w:tcW w:type="dxa" w:w="6192"/>
          </w:tcPr>
          <w:p>
            <w:r>
              <w:rPr>
                <w:i/>
                <w:color w:val="5A6A72"/>
                <w:sz w:val="18"/>
              </w:rPr>
              <w:t>Quel sous-traitant nous a informés et quand — si la violation a pris naissance chez un sous-traitant</w:t>
            </w:r>
          </w:p>
        </w:tc>
      </w:tr>
      <w:tr>
        <w:tc>
          <w:tcPr>
            <w:tcW w:type="dxa" w:w="3168"/>
            <w:shd w:val="clear" w:fill="F5F1E8"/>
          </w:tcPr>
          <w:p>
            <w:r>
              <w:rPr>
                <w:b/>
                <w:color w:val="0A2733"/>
                <w:sz w:val="18"/>
              </w:rPr>
              <w:t>Mesures correctives</w:t>
            </w:r>
          </w:p>
        </w:tc>
        <w:tc>
          <w:tcPr>
            <w:tcW w:type="dxa" w:w="6192"/>
          </w:tcPr>
          <w:p>
            <w:r>
              <w:rPr>
                <w:i/>
                <w:color w:val="5A6A72"/>
                <w:sz w:val="18"/>
              </w:rPr>
              <w:t>Ce qui a été corrigé, changé ou amélioré en conséquence</w:t>
            </w:r>
          </w:p>
        </w:tc>
      </w:tr>
      <w:tr>
        <w:tc>
          <w:tcPr>
            <w:tcW w:type="dxa" w:w="3168"/>
            <w:shd w:val="clear" w:fill="F5F1E8"/>
          </w:tcPr>
          <w:p>
            <w:r>
              <w:rPr>
                <w:b/>
                <w:color w:val="0A2733"/>
                <w:sz w:val="18"/>
              </w:rPr>
              <w:t>Journal des dépôts</w:t>
            </w:r>
          </w:p>
        </w:tc>
        <w:tc>
          <w:tcPr>
            <w:tcW w:type="dxa" w:w="6192"/>
          </w:tcPr>
          <w:p>
            <w:r>
              <w:rPr>
                <w:i/>
                <w:color w:val="5A6A72"/>
                <w:sz w:val="18"/>
              </w:rPr>
              <w:t>Notifications initiale / mise à jour / finale : dates et références</w:t>
            </w:r>
          </w:p>
        </w:tc>
      </w:tr>
    </w:tbl>
    <w:p/>
    <w:p>
      <w:r/>
    </w:p>
    <w:p>
      <w:pPr>
        <w:pStyle w:val="Heading1"/>
      </w:pPr>
      <w:r>
        <w:t>Document D — Aide à la décision notifier-ou-non</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8"/>
              </w:rPr>
              <w:t>Situation</w:t>
            </w:r>
          </w:p>
        </w:tc>
        <w:tc>
          <w:tcPr>
            <w:tcW w:type="dxa" w:w="4320"/>
            <w:shd w:val="clear" w:fill="F2C744"/>
          </w:tcPr>
          <w:p>
            <w:r>
              <w:rPr>
                <w:b/>
                <w:color w:val="0A2733"/>
                <w:sz w:val="18"/>
              </w:rPr>
              <w:t>Ce que vous devez produire</w:t>
            </w:r>
          </w:p>
        </w:tc>
      </w:tr>
      <w:tr>
        <w:tc>
          <w:tcPr>
            <w:tcW w:type="dxa" w:w="4320"/>
          </w:tcPr>
          <w:p>
            <w:r>
              <w:rPr>
                <w:sz w:val="18"/>
              </w:rPr>
              <w:t>Violation peu susceptible d'engendrer un risque</w:t>
            </w:r>
          </w:p>
        </w:tc>
        <w:tc>
          <w:tcPr>
            <w:tcW w:type="dxa" w:w="4320"/>
          </w:tcPr>
          <w:p>
            <w:r>
              <w:rPr>
                <w:sz w:val="18"/>
              </w:rPr>
              <w:t>Document C uniquement — consignez-la avec votre raisonnement</w:t>
            </w:r>
          </w:p>
        </w:tc>
      </w:tr>
      <w:tr>
        <w:tc>
          <w:tcPr>
            <w:tcW w:type="dxa" w:w="4320"/>
          </w:tcPr>
          <w:p>
            <w:r>
              <w:rPr>
                <w:sz w:val="18"/>
              </w:rPr>
              <w:t>Violation susceptible d'engendrer un risque</w:t>
            </w:r>
          </w:p>
        </w:tc>
        <w:tc>
          <w:tcPr>
            <w:tcW w:type="dxa" w:w="4320"/>
          </w:tcPr>
          <w:p>
            <w:r>
              <w:rPr>
                <w:sz w:val="18"/>
              </w:rPr>
              <w:t>Document A sous 72 h + document C</w:t>
            </w:r>
          </w:p>
        </w:tc>
      </w:tr>
      <w:tr>
        <w:tc>
          <w:tcPr>
            <w:tcW w:type="dxa" w:w="4320"/>
          </w:tcPr>
          <w:p>
            <w:r>
              <w:rPr>
                <w:sz w:val="18"/>
              </w:rPr>
              <w:t>Violation susceptible d'engendrer un risque ÉLEVÉ</w:t>
            </w:r>
          </w:p>
        </w:tc>
        <w:tc>
          <w:tcPr>
            <w:tcW w:type="dxa" w:w="4320"/>
          </w:tcPr>
          <w:p>
            <w:r>
              <w:rPr>
                <w:sz w:val="18"/>
              </w:rPr>
              <w:t>Document A + document B dans les meilleurs délais + document C</w:t>
            </w:r>
          </w:p>
        </w:tc>
      </w:tr>
      <w:tr>
        <w:tc>
          <w:tcPr>
            <w:tcW w:type="dxa" w:w="4320"/>
          </w:tcPr>
          <w:p>
            <w:r>
              <w:rPr>
                <w:sz w:val="18"/>
              </w:rPr>
              <w:t>Risque élevé, mais données incompréhensibles (p. ex. chiffrées, clés en sécurité) — art 34(3)(a)</w:t>
            </w:r>
          </w:p>
        </w:tc>
        <w:tc>
          <w:tcPr>
            <w:tcW w:type="dxa" w:w="4320"/>
          </w:tcPr>
          <w:p>
            <w:r>
              <w:rPr>
                <w:sz w:val="18"/>
              </w:rPr>
              <w:t>Document A + document C ; pas de document B</w:t>
            </w:r>
          </w:p>
        </w:tc>
      </w:tr>
      <w:tr>
        <w:tc>
          <w:tcPr>
            <w:tcW w:type="dxa" w:w="4320"/>
          </w:tcPr>
          <w:p>
            <w:r>
              <w:rPr>
                <w:sz w:val="18"/>
              </w:rPr>
              <w:t>Risque élevé, mais des mesures ultérieures l'ont écarté — art 34(3)(b)</w:t>
            </w:r>
          </w:p>
        </w:tc>
        <w:tc>
          <w:tcPr>
            <w:tcW w:type="dxa" w:w="4320"/>
          </w:tcPr>
          <w:p>
            <w:r>
              <w:rPr>
                <w:sz w:val="18"/>
              </w:rPr>
              <w:t>Document A + document C ; pas de document B</w:t>
            </w:r>
          </w:p>
        </w:tc>
      </w:tr>
      <w:tr>
        <w:tc>
          <w:tcPr>
            <w:tcW w:type="dxa" w:w="4320"/>
          </w:tcPr>
          <w:p>
            <w:r>
              <w:rPr>
                <w:sz w:val="18"/>
              </w:rPr>
              <w:t>Lettres individuelles = effort disproportionné — art 34(3)(c)</w:t>
            </w:r>
          </w:p>
        </w:tc>
        <w:tc>
          <w:tcPr>
            <w:tcW w:type="dxa" w:w="4320"/>
          </w:tcPr>
          <w:p>
            <w:r>
              <w:rPr>
                <w:sz w:val="18"/>
              </w:rPr>
              <w:t>Document A + communication publique + document C</w:t>
            </w:r>
          </w:p>
        </w:tc>
      </w:tr>
    </w:tbl>
    <w:p/>
    <w:p>
      <w:r>
        <w:rPr>
          <w:i/>
          <w:color w:val="5A6A72"/>
          <w:sz w:val="18"/>
        </w:rPr>
        <w:t>Rappel : l'autorité de contrôle peut ordonner la communication aux personnes concernées au titre de l'art 34(4), même lorsque vous aviez conclu qu'elle n'était pas requise. Amendes pour les manquements aux art 33/34 : jusqu'à 10 millions d'euros ou 2 % du chiffre d'affaires annuel mondial total (art 83(4)(a)).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Pack de modèles de notification de violation RGPD v1.0 · 2026-07-22 · orbiqhq.com/fr/modeles/pack-modeles-notification-violation-rgpd · CC BY 4.0 · Ne constitue pas un conseil juridique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