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rPr>
          <w:color w:val="0A2733"/>
        </w:rPr>
        <w:t>Modèle RGPD de notification de changement de sous-traitant ultérieur</w:t>
      </w:r>
    </w:p>
    <w:p>
      <w:r>
        <w:rPr>
          <w:color w:val="667075"/>
          <w:sz w:val="18"/>
        </w:rPr>
        <w:t>Version 1.0 · Mise à jour 2026-07-03 · Modèle gratuit par Orbiq · orbiqhq.com/templates/gdpr-subprocessor-change-notice</w:t>
      </w:r>
    </w:p>
    <w:tbl>
      <w:tblPr>
        <w:tblW w:type="auto" w:w="0"/>
        <w:tblLook w:firstColumn="1" w:firstRow="1" w:lastColumn="0" w:lastRow="0" w:noHBand="0" w:noVBand="1" w:val="04A0"/>
      </w:tblPr>
      <w:tblGrid>
        <w:gridCol w:w="8640"/>
      </w:tblGrid>
      <w:tr>
        <w:trPr>
          <w:trHeight w:val="85"/>
        </w:trPr>
        <w:tc>
          <w:tcPr>
            <w:tcW w:type="dxa" w:w="8640"/>
            <w:shd w:val="clear" w:fill="D0A78F"/>
          </w:tcPr>
          <w:p>
            <w:r/>
          </w:p>
        </w:tc>
      </w:tr>
    </w:tbl>
    <w:p/>
    <w:p>
      <w:pPr>
        <w:pStyle w:val="Heading2"/>
      </w:pPr>
      <w:r>
        <w:rPr>
          <w:color w:val="0A2733"/>
        </w:rPr>
        <w:t>Notification de changement de sous-traitant ultérieur</w:t>
      </w:r>
    </w:p>
    <w:p>
      <w:r>
        <w:t>NOTIFICATION DE CHANGEMENT DE SOUS-TRAITANT ULTÉRIEUR — {{notice_reference}}</w:t>
      </w:r>
    </w:p>
    <w:p>
      <w:r>
        <w:t>De : {{processor_name}}</w:t>
        <w:br/>
        <w:t>À : {{controller_name}}</w:t>
        <w:br/>
        <w:t>Date : {{notice_date}}</w:t>
        <w:br/>
        <w:t>Base juridique : article 28(2) du RGPD — information sur un changement envisagé dans le cadre d'une autorisation écrite générale, conformément à l'accord de traitement des données (DPA) conclu entre les parties.</w:t>
      </w:r>
    </w:p>
    <w:p>
      <w:r>
        <w:t>Changement envisagé : {{processor_name}} envisage d'engager le sous-traitant ultérieur suivant ({{change_type}} — s'il s'agit d'un remplacement, en remplacement de {{replaced_subprocessor}}).</w:t>
      </w:r>
    </w:p>
    <w:p>
      <w:pPr>
        <w:pStyle w:val="Heading2"/>
      </w:pPr>
      <w:r>
        <w:rPr>
          <w:color w:val="0A2733"/>
        </w:rPr>
        <w:t>1. Détails du changement envisagé</w:t>
      </w:r>
    </w:p>
    <w:p>
      <w:r>
        <w:t>Complétez chaque ligne. L'avis 22/2024 du CEPD considère qu'une notification limitée au seul nom est insuffisante pour tout traitement non trivial. Si le lieu de traitement se situe hors de l'EEE, la ligne relative au mécanisme de transfert est obligatoire (clauses contractuelles types conformément à la décision (UE) 2021/914, ou décision d'adéquation).</w:t>
      </w:r>
    </w:p>
    <w:tbl>
      <w:tblPr>
        <w:tblStyle w:val="TableGrid"/>
        <w:tblW w:type="auto" w:w="0"/>
        <w:tblLook w:firstColumn="1" w:firstRow="1" w:lastColumn="0" w:lastRow="0" w:noHBand="0" w:noVBand="1" w:val="04A0"/>
      </w:tblPr>
      <w:tblGrid>
        <w:gridCol w:w="4320"/>
        <w:gridCol w:w="4320"/>
      </w:tblGrid>
      <w:tr>
        <w:tc>
          <w:tcPr>
            <w:tcW w:type="dxa" w:w="4320"/>
            <w:shd w:val="clear" w:fill="0A2733"/>
          </w:tcPr>
          <w:p>
            <w:r>
              <w:rPr>
                <w:b/>
                <w:color w:val="FFFFFF"/>
                <w:sz w:val="20"/>
              </w:rPr>
              <w:t>Champ</w:t>
            </w:r>
          </w:p>
        </w:tc>
        <w:tc>
          <w:tcPr>
            <w:tcW w:type="dxa" w:w="4320"/>
            <w:shd w:val="clear" w:fill="0A2733"/>
          </w:tcPr>
          <w:p>
            <w:r>
              <w:rPr>
                <w:b/>
                <w:color w:val="FFFFFF"/>
                <w:sz w:val="20"/>
              </w:rPr>
              <w:t>Détails</w:t>
            </w:r>
          </w:p>
        </w:tc>
      </w:tr>
      <w:tr>
        <w:tc>
          <w:tcPr>
            <w:tcW w:type="dxa" w:w="4320"/>
          </w:tcPr>
          <w:p>
            <w:r>
              <w:rPr>
                <w:sz w:val="20"/>
              </w:rPr>
              <w:t>Sous-traitant ultérieur (entité juridique)</w:t>
            </w:r>
          </w:p>
        </w:tc>
        <w:tc>
          <w:tcPr>
            <w:tcW w:type="dxa" w:w="4320"/>
          </w:tcPr>
          <w:p>
            <w:r>
              <w:rPr>
                <w:i/>
                <w:sz w:val="20"/>
              </w:rPr>
              <w:t>{{subprocessor_name}}</w:t>
            </w:r>
          </w:p>
        </w:tc>
      </w:tr>
      <w:tr>
        <w:tc>
          <w:tcPr>
            <w:tcW w:type="dxa" w:w="4320"/>
          </w:tcPr>
          <w:p>
            <w:r>
              <w:rPr>
                <w:sz w:val="20"/>
              </w:rPr>
              <w:t>Adresse du siège</w:t>
            </w:r>
          </w:p>
        </w:tc>
        <w:tc>
          <w:tcPr>
            <w:tcW w:type="dxa" w:w="4320"/>
          </w:tcPr>
          <w:p>
            <w:r>
              <w:rPr>
                <w:i/>
                <w:sz w:val="20"/>
              </w:rPr>
              <w:t>{{subprocessor_address}}</w:t>
            </w:r>
          </w:p>
        </w:tc>
      </w:tr>
      <w:tr>
        <w:tc>
          <w:tcPr>
            <w:tcW w:type="dxa" w:w="4320"/>
          </w:tcPr>
          <w:p>
            <w:r>
              <w:rPr>
                <w:sz w:val="20"/>
              </w:rPr>
              <w:t>Personne de contact</w:t>
            </w:r>
          </w:p>
        </w:tc>
        <w:tc>
          <w:tcPr>
            <w:tcW w:type="dxa" w:w="4320"/>
          </w:tcPr>
          <w:p>
            <w:r>
              <w:rPr>
                <w:i/>
                <w:sz w:val="20"/>
              </w:rPr>
              <w:t>{{subprocessor_contact}}</w:t>
            </w:r>
          </w:p>
        </w:tc>
      </w:tr>
      <w:tr>
        <w:tc>
          <w:tcPr>
            <w:tcW w:type="dxa" w:w="4320"/>
          </w:tcPr>
          <w:p>
            <w:r>
              <w:rPr>
                <w:sz w:val="20"/>
              </w:rPr>
              <w:t>Description du service / du traitement</w:t>
            </w:r>
          </w:p>
        </w:tc>
        <w:tc>
          <w:tcPr>
            <w:tcW w:type="dxa" w:w="4320"/>
          </w:tcPr>
          <w:p>
            <w:r>
              <w:rPr>
                <w:i/>
                <w:sz w:val="20"/>
              </w:rPr>
              <w:t>{{service_description}}</w:t>
            </w:r>
          </w:p>
        </w:tc>
      </w:tr>
      <w:tr>
        <w:tc>
          <w:tcPr>
            <w:tcW w:type="dxa" w:w="4320"/>
          </w:tcPr>
          <w:p>
            <w:r>
              <w:rPr>
                <w:sz w:val="20"/>
              </w:rPr>
              <w:t>Catégories de données personnelles</w:t>
            </w:r>
          </w:p>
        </w:tc>
        <w:tc>
          <w:tcPr>
            <w:tcW w:type="dxa" w:w="4320"/>
          </w:tcPr>
          <w:p>
            <w:r>
              <w:rPr>
                <w:i/>
                <w:sz w:val="20"/>
              </w:rPr>
              <w:t>{{data_categories}}</w:t>
            </w:r>
          </w:p>
        </w:tc>
      </w:tr>
      <w:tr>
        <w:tc>
          <w:tcPr>
            <w:tcW w:type="dxa" w:w="4320"/>
          </w:tcPr>
          <w:p>
            <w:r>
              <w:rPr>
                <w:sz w:val="20"/>
              </w:rPr>
              <w:t>Catégories de personnes concernées</w:t>
            </w:r>
          </w:p>
        </w:tc>
        <w:tc>
          <w:tcPr>
            <w:tcW w:type="dxa" w:w="4320"/>
          </w:tcPr>
          <w:p>
            <w:r>
              <w:rPr>
                <w:i/>
                <w:sz w:val="20"/>
              </w:rPr>
              <w:t>{{data_subjects}}</w:t>
            </w:r>
          </w:p>
        </w:tc>
      </w:tr>
      <w:tr>
        <w:tc>
          <w:tcPr>
            <w:tcW w:type="dxa" w:w="4320"/>
          </w:tcPr>
          <w:p>
            <w:r>
              <w:rPr>
                <w:sz w:val="20"/>
              </w:rPr>
              <w:t>Lieu de traitement (pays)</w:t>
            </w:r>
          </w:p>
        </w:tc>
        <w:tc>
          <w:tcPr>
            <w:tcW w:type="dxa" w:w="4320"/>
          </w:tcPr>
          <w:p>
            <w:r>
              <w:rPr>
                <w:i/>
                <w:sz w:val="20"/>
              </w:rPr>
              <w:t>{{processing_location}}</w:t>
            </w:r>
          </w:p>
        </w:tc>
      </w:tr>
      <w:tr>
        <w:tc>
          <w:tcPr>
            <w:tcW w:type="dxa" w:w="4320"/>
          </w:tcPr>
          <w:p>
            <w:r>
              <w:rPr>
                <w:sz w:val="20"/>
              </w:rPr>
              <w:t>Mécanisme de transfert (CCT / adéquation / s.o. EEE uniquement)</w:t>
            </w:r>
          </w:p>
        </w:tc>
        <w:tc>
          <w:tcPr>
            <w:tcW w:type="dxa" w:w="4320"/>
          </w:tcPr>
          <w:p>
            <w:r>
              <w:rPr>
                <w:i/>
                <w:sz w:val="20"/>
              </w:rPr>
              <w:t>{{transfer_mechanism}}</w:t>
            </w:r>
          </w:p>
        </w:tc>
      </w:tr>
      <w:tr>
        <w:tc>
          <w:tcPr>
            <w:tcW w:type="dxa" w:w="4320"/>
          </w:tcPr>
          <w:p>
            <w:r>
              <w:rPr>
                <w:sz w:val="20"/>
              </w:rPr>
              <w:t>Garanties de sécurité (certifications / mesures)</w:t>
            </w:r>
          </w:p>
        </w:tc>
        <w:tc>
          <w:tcPr>
            <w:tcW w:type="dxa" w:w="4320"/>
          </w:tcPr>
          <w:p>
            <w:r>
              <w:rPr>
                <w:i/>
                <w:sz w:val="20"/>
              </w:rPr>
              <w:t>{{security_guarantees}}</w:t>
            </w:r>
          </w:p>
        </w:tc>
      </w:tr>
      <w:tr>
        <w:tc>
          <w:tcPr>
            <w:tcW w:type="dxa" w:w="4320"/>
          </w:tcPr>
          <w:p>
            <w:r>
              <w:rPr>
                <w:sz w:val="20"/>
              </w:rPr>
              <w:t>Date de prise d'effet</w:t>
            </w:r>
          </w:p>
        </w:tc>
        <w:tc>
          <w:tcPr>
            <w:tcW w:type="dxa" w:w="4320"/>
          </w:tcPr>
          <w:p>
            <w:r>
              <w:rPr>
                <w:i/>
                <w:sz w:val="20"/>
              </w:rPr>
              <w:t>{{effective_date}}</w:t>
            </w:r>
          </w:p>
        </w:tc>
      </w:tr>
      <w:tr>
        <w:tc>
          <w:tcPr>
            <w:tcW w:type="dxa" w:w="4320"/>
          </w:tcPr>
          <w:p>
            <w:r>
              <w:rPr>
                <w:sz w:val="20"/>
              </w:rPr>
              <w:t>Date limite et modalités d'objection</w:t>
            </w:r>
          </w:p>
        </w:tc>
        <w:tc>
          <w:tcPr>
            <w:tcW w:type="dxa" w:w="4320"/>
          </w:tcPr>
          <w:p>
            <w:r>
              <w:rPr>
                <w:i/>
                <w:sz w:val="20"/>
              </w:rPr>
              <w:t>{{objection_deadline}} — {{objection_method}}</w:t>
            </w:r>
          </w:p>
        </w:tc>
      </w:tr>
    </w:tbl>
    <w:p/>
    <w:p>
      <w:pPr>
        <w:pStyle w:val="Heading2"/>
      </w:pPr>
      <w:r>
        <w:rPr>
          <w:color w:val="0A2733"/>
        </w:rPr>
        <w:t>2. Votre droit d'objection</w:t>
      </w:r>
    </w:p>
    <w:p>
      <w:r>
        <w:t>Vous pouvez vous opposer à ce changement jusqu'au {{objection_deadline}} ({{objection_window_days}} jours à compter de la date de la présente notification), par {{objection_method}}. En cas d'objection, nous ferons des efforts raisonnables pour en tenir compte — par exemple en ne dirigeant pas vos données vers le nouveau sous-traitant ultérieur — et, si aucune solution de contournement n'est possible, vous pourrez résilier les services concernés dans les conditions prévues par le DPA. À défaut d'objection dans le délai imparti, le changement prendra effet le {{effective_date}} conformément au DPA.</w:t>
      </w:r>
    </w:p>
    <w:p>
      <w:r>
        <w:t>Informations complémentaires : notre liste complète et à jour des sous-traitants ultérieurs est disponible à l'adresse {{subprocessor_list_url}}. Les mêmes obligations de protection des données que celles prévues par notre DPA avec vous seront imposées à {{subprocessor_name}} par contrat écrit (article 28(4) du RGPD), et {{processor_name}} demeure pleinement responsable envers vous de leur exécution. Questions : {{dpo_contact}}.</w:t>
      </w:r>
    </w:p>
    <w:p>
      <w:pPr>
        <w:pStyle w:val="Heading2"/>
      </w:pPr>
      <w:r>
        <w:rPr>
          <w:color w:val="0A2733"/>
        </w:rPr>
        <w:t>3. Variante e-mail</w:t>
      </w:r>
    </w:p>
    <w:p>
      <w:r>
        <w:t>Objet : Notification de changement de sous-traitant ultérieur — {{subprocessor_name}} ({{change_type}}) — date limite d'objection {{objection_deadline}}</w:t>
      </w:r>
    </w:p>
    <w:p>
      <w:r>
        <w:t>Bonjour {{controller_name}},</w:t>
      </w:r>
    </w:p>
    <w:p>
      <w:r>
        <w:t>Conformément à l'article 28(2) du RGPD et à notre accord de traitement des données (DPA), nous vous informons d'un changement envisagé concernant nos sous-traitants ultérieurs ({{change_type}}) :</w:t>
      </w:r>
    </w:p>
    <w:p>
      <w:r>
        <w:t>• Sous-traitant ultérieur : {{subprocessor_name}}, {{subprocessor_address}} (contact : {{subprocessor_contact}})</w:t>
        <w:br/>
        <w:t>• Service / traitement : {{service_description}}</w:t>
        <w:br/>
        <w:t>• Données personnelles : {{data_categories}} concernant {{data_subjects}}</w:t>
        <w:br/>
        <w:t>• Lieu de traitement : {{processing_location}} — mécanisme de transfert : {{transfer_mechanism}}</w:t>
        <w:br/>
        <w:t>• Garanties de sécurité : {{security_guarantees}}</w:t>
        <w:br/>
        <w:t>• Date de prise d'effet : {{effective_date}}</w:t>
      </w:r>
    </w:p>
    <w:p>
      <w:r>
        <w:t>Vous pouvez émettre une objection jusqu'au {{objection_deadline}} par {{objection_method}}. En cas d'objection, nous rechercherons une solution de contournement ; si aucune n'est possible, vous pourrez résilier les services concernés dans les conditions prévues par le DPA. À défaut d'objection dans le délai, le changement prendra effet comme indiqué ci-dessus.</w:t>
      </w:r>
    </w:p>
    <w:p>
      <w:r>
        <w:t>Notre liste actuelle des sous-traitants ultérieurs : {{subprocessor_list_url}}</w:t>
      </w:r>
    </w:p>
    <w:p>
      <w:r>
        <w:t>Cordialement,</w:t>
        <w:br/>
        <w:t>{{processor_name}} — Équipe protection des données ({{dpo_contact}})</w:t>
      </w:r>
    </w:p>
    <w:p>
      <w:pPr>
        <w:pStyle w:val="Heading2"/>
      </w:pPr>
      <w:r>
        <w:rPr>
          <w:color w:val="0A2733"/>
        </w:rPr>
        <w:t>4. Modèle de réponse à une objection</w:t>
      </w:r>
    </w:p>
    <w:p>
      <w:r>
        <w:t>À envoyer dans le délai d'accusé de réception prévu par votre DPA (ou sous 5 jours ouvrés à défaut) :</w:t>
      </w:r>
    </w:p>
    <w:p>
      <w:r>
        <w:t>Bonjour {{controller_name}},</w:t>
      </w:r>
    </w:p>
    <w:p>
      <w:r>
        <w:t>Nous vous remercions de votre objection du {{objection_received_date}} concernant notre notification {{notice_reference}} relative à {{subprocessor_name}}. Nous vous confirmons que vos données ne seront pas traitées par {{subprocessor_name}} pendant l'examen de votre objection.</w:t>
      </w:r>
    </w:p>
    <w:p>
      <w:r>
        <w:t>Nous reviendrons vers vous au plus tard le {{response_due_date}} avec soit (a) une solution de contournement garantissant que vos données ne sont pas dirigées vers {{subprocessor_name}}, soit (b) la confirmation qu'aucune solution n'est possible, auquel cas vous pourrez résilier les services concernés sans pénalité dans les conditions prévues par le DPA, avec la période de réversibilité convenue.</w:t>
      </w:r>
    </w:p>
    <w:p>
      <w:r>
        <w:t>Votre objection et son issue seront consignées dans notre piste d'audit des traitements.</w:t>
      </w:r>
    </w:p>
    <w:p>
      <w:pPr>
        <w:pStyle w:val="Heading2"/>
      </w:pPr>
      <w:r>
        <w:rPr>
          <w:color w:val="0A2733"/>
        </w:rPr>
        <w:t>5. Circuit de validation (interne — à retirer avant envoi)</w:t>
      </w:r>
    </w:p>
    <w:p>
      <w:r>
        <w:t>Passez les quatre jalons, dans l'ordre, avant que la notification ne parte. Le RGPD ne fixe aucun délai légal de préavis : le délai d'objection découle du DPA applicable (pratique européenne : ~15 jours en général, 30 à 60 jours négociés par les responsables du traitement grands comptes et régulés, 90 jours restant rare).</w:t>
      </w:r>
    </w:p>
    <w:tbl>
      <w:tblPr>
        <w:tblStyle w:val="TableGrid"/>
        <w:tblW w:type="auto" w:w="0"/>
        <w:tblLook w:firstColumn="1" w:firstRow="1" w:lastColumn="0" w:lastRow="0" w:noHBand="0" w:noVBand="1" w:val="04A0"/>
      </w:tblPr>
      <w:tblGrid>
        <w:gridCol w:w="2880"/>
        <w:gridCol w:w="2880"/>
        <w:gridCol w:w="2880"/>
      </w:tblGrid>
      <w:tr>
        <w:tc>
          <w:tcPr>
            <w:tcW w:type="dxa" w:w="2880"/>
            <w:shd w:val="clear" w:fill="0A2733"/>
          </w:tcPr>
          <w:p>
            <w:r>
              <w:rPr>
                <w:b/>
                <w:color w:val="FFFFFF"/>
                <w:sz w:val="20"/>
              </w:rPr>
              <w:t>Jalon</w:t>
            </w:r>
          </w:p>
        </w:tc>
        <w:tc>
          <w:tcPr>
            <w:tcW w:type="dxa" w:w="2880"/>
            <w:shd w:val="clear" w:fill="0A2733"/>
          </w:tcPr>
          <w:p>
            <w:r>
              <w:rPr>
                <w:b/>
                <w:color w:val="FFFFFF"/>
                <w:sz w:val="20"/>
              </w:rPr>
              <w:t>Responsable</w:t>
            </w:r>
          </w:p>
        </w:tc>
        <w:tc>
          <w:tcPr>
            <w:tcW w:type="dxa" w:w="2880"/>
            <w:shd w:val="clear" w:fill="0A2733"/>
          </w:tcPr>
          <w:p>
            <w:r>
              <w:rPr>
                <w:b/>
                <w:color w:val="FFFFFF"/>
                <w:sz w:val="20"/>
              </w:rPr>
              <w:t>Points de contrôle</w:t>
            </w:r>
          </w:p>
        </w:tc>
      </w:tr>
      <w:tr>
        <w:tc>
          <w:tcPr>
            <w:tcW w:type="dxa" w:w="2880"/>
          </w:tcPr>
          <w:p>
            <w:r>
              <w:rPr>
                <w:sz w:val="20"/>
              </w:rPr>
              <w:t>1. Revue juridique</w:t>
            </w:r>
          </w:p>
        </w:tc>
        <w:tc>
          <w:tcPr>
            <w:tcW w:type="dxa" w:w="2880"/>
          </w:tcPr>
          <w:p>
            <w:r>
              <w:rPr>
                <w:sz w:val="20"/>
              </w:rPr>
              <w:t>Juridique</w:t>
            </w:r>
          </w:p>
        </w:tc>
        <w:tc>
          <w:tcPr>
            <w:tcW w:type="dxa" w:w="2880"/>
          </w:tcPr>
          <w:p>
            <w:r>
              <w:rPr>
                <w:sz w:val="20"/>
              </w:rPr>
              <w:t>Délai de notification défini par le DPA, modalités et conséquences de l'objection par segment de clientèle ; application du délai le plus long applicable (ou segmentation des notifications) ; contrat de répercussion au titre de l'article 28(4) signé ou planifié avant la date de prise d'effet</w:t>
            </w:r>
          </w:p>
        </w:tc>
      </w:tr>
      <w:tr>
        <w:tc>
          <w:tcPr>
            <w:tcW w:type="dxa" w:w="2880"/>
          </w:tcPr>
          <w:p>
            <w:r>
              <w:rPr>
                <w:sz w:val="20"/>
              </w:rPr>
              <w:t>2. Validation du DPO</w:t>
            </w:r>
          </w:p>
        </w:tc>
        <w:tc>
          <w:tcPr>
            <w:tcW w:type="dxa" w:w="2880"/>
          </w:tcPr>
          <w:p>
            <w:r>
              <w:rPr>
                <w:sz w:val="20"/>
              </w:rPr>
              <w:t>DPO / responsable privacy</w:t>
            </w:r>
          </w:p>
        </w:tc>
        <w:tc>
          <w:tcPr>
            <w:tcW w:type="dxa" w:w="2880"/>
          </w:tcPr>
          <w:p>
            <w:r>
              <w:rPr>
                <w:sz w:val="20"/>
              </w:rPr>
              <w:t>Due diligence du sous-traitant ultérieur effectuée ; analyse de transfert valable pour le lieu de traitement ; tous les champs de la notification complétés — les projets limités au seul nom sont rejetés</w:t>
            </w:r>
          </w:p>
        </w:tc>
      </w:tr>
      <w:tr>
        <w:tc>
          <w:tcPr>
            <w:tcW w:type="dxa" w:w="2880"/>
          </w:tcPr>
          <w:p>
            <w:r>
              <w:rPr>
                <w:sz w:val="20"/>
              </w:rPr>
              <w:t>3. Publication</w:t>
            </w:r>
          </w:p>
        </w:tc>
        <w:tc>
          <w:tcPr>
            <w:tcW w:type="dxa" w:w="2880"/>
          </w:tcPr>
          <w:p>
            <w:r>
              <w:rPr>
                <w:sz w:val="20"/>
              </w:rPr>
              <w:t>Responsable trust / web</w:t>
            </w:r>
          </w:p>
        </w:tc>
        <w:tc>
          <w:tcPr>
            <w:tcW w:type="dxa" w:w="2880"/>
          </w:tcPr>
          <w:p>
            <w:r>
              <w:rPr>
                <w:sz w:val="20"/>
              </w:rPr>
              <w:t>Registre public des sous-traitants ultérieurs mis à jour avant la notification ou simultanément, afin que la liste et la notification restent cohérentes (avis 22/2024 du CEPD : à jour à tout moment)</w:t>
            </w:r>
          </w:p>
        </w:tc>
      </w:tr>
      <w:tr>
        <w:tc>
          <w:tcPr>
            <w:tcW w:type="dxa" w:w="2880"/>
          </w:tcPr>
          <w:p>
            <w:r>
              <w:rPr>
                <w:sz w:val="20"/>
              </w:rPr>
              <w:t>4. Notification et journalisation</w:t>
            </w:r>
          </w:p>
        </w:tc>
        <w:tc>
          <w:tcPr>
            <w:tcW w:type="dxa" w:w="2880"/>
          </w:tcPr>
          <w:p>
            <w:r>
              <w:rPr>
                <w:sz w:val="20"/>
              </w:rPr>
              <w:t>Ops privacy</w:t>
            </w:r>
          </w:p>
        </w:tc>
        <w:tc>
          <w:tcPr>
            <w:tcW w:type="dxa" w:w="2880"/>
          </w:tcPr>
          <w:p>
            <w:r>
              <w:rPr>
                <w:i/>
                <w:sz w:val="20"/>
              </w:rPr>
              <w:t>Notification push envoyée à chaque responsable du traitement concerné ; destinataires, horodatage et contenu journalisés ; décompte du délai d'objection lancé ; mise en service suspendue jusqu'à l'expiration du {{objection_deadline}}</w:t>
            </w:r>
          </w:p>
        </w:tc>
      </w:tr>
    </w:tbl>
    <w:p/>
    <w:p>
      <w:r>
        <w:br w:type="page"/>
      </w:r>
    </w:p>
    <w:p>
      <w:pPr>
        <w:pStyle w:val="Heading1"/>
      </w:pPr>
      <w:r>
        <w:rPr>
          <w:color w:val="0A2733"/>
        </w:rPr>
        <w:t>EXEMPLE COMPLÉTÉ (fictif — remplacez par vos propres données)</w:t>
      </w:r>
    </w:p>
    <w:p>
      <w:pPr>
        <w:pStyle w:val="Heading2"/>
      </w:pPr>
      <w:r>
        <w:rPr>
          <w:color w:val="0A2733"/>
        </w:rPr>
        <w:t>Notification de changement de sous-traitant ultérieur</w:t>
      </w:r>
    </w:p>
    <w:p>
      <w:r>
        <w:t>NOTIFICATION DE CHANGEMENT DE SOUS-TRAITANT ULTÉRIEUR — SUBPROC-2026-014</w:t>
      </w:r>
    </w:p>
    <w:p>
      <w:r>
        <w:t>De : Aventra Software GmbH</w:t>
        <w:br/>
        <w:t>À : tous les clients abonnés (responsables du traitement)</w:t>
        <w:br/>
        <w:t>Date : 2026-07-03</w:t>
        <w:br/>
        <w:t>Base juridique : article 28(2) du RGPD — information sur un changement envisagé dans le cadre d'une autorisation écrite générale, conformément à l'accord de traitement des données (DPA) conclu entre les parties.</w:t>
      </w:r>
    </w:p>
    <w:p>
      <w:r>
        <w:t>Changement envisagé : Aventra Software GmbH envisage d'engager le sous-traitant ultérieur suivant (ajout).</w:t>
      </w:r>
    </w:p>
    <w:p>
      <w:pPr>
        <w:pStyle w:val="Heading2"/>
      </w:pPr>
      <w:r>
        <w:rPr>
          <w:color w:val="0A2733"/>
        </w:rPr>
        <w:t>1. Détails du changement envisagé</w:t>
      </w:r>
    </w:p>
    <w:tbl>
      <w:tblPr>
        <w:tblStyle w:val="TableGrid"/>
        <w:tblW w:type="auto" w:w="0"/>
        <w:tblLook w:firstColumn="1" w:firstRow="1" w:lastColumn="0" w:lastRow="0" w:noHBand="0" w:noVBand="1" w:val="04A0"/>
      </w:tblPr>
      <w:tblGrid>
        <w:gridCol w:w="4320"/>
        <w:gridCol w:w="4320"/>
      </w:tblGrid>
      <w:tr>
        <w:tc>
          <w:tcPr>
            <w:tcW w:type="dxa" w:w="4320"/>
            <w:shd w:val="clear" w:fill="0A2733"/>
          </w:tcPr>
          <w:p>
            <w:r>
              <w:rPr>
                <w:b/>
                <w:color w:val="FFFFFF"/>
                <w:sz w:val="20"/>
              </w:rPr>
              <w:t>Champ</w:t>
            </w:r>
          </w:p>
        </w:tc>
        <w:tc>
          <w:tcPr>
            <w:tcW w:type="dxa" w:w="4320"/>
            <w:shd w:val="clear" w:fill="0A2733"/>
          </w:tcPr>
          <w:p>
            <w:r>
              <w:rPr>
                <w:b/>
                <w:color w:val="FFFFFF"/>
                <w:sz w:val="20"/>
              </w:rPr>
              <w:t>Détails</w:t>
            </w:r>
          </w:p>
        </w:tc>
      </w:tr>
      <w:tr>
        <w:tc>
          <w:tcPr>
            <w:tcW w:type="dxa" w:w="4320"/>
          </w:tcPr>
          <w:p>
            <w:r>
              <w:rPr>
                <w:sz w:val="20"/>
              </w:rPr>
              <w:t>Sous-traitant ultérieur (entité juridique)</w:t>
            </w:r>
          </w:p>
        </w:tc>
        <w:tc>
          <w:tcPr>
            <w:tcW w:type="dxa" w:w="4320"/>
          </w:tcPr>
          <w:p>
            <w:r>
              <w:rPr>
                <w:sz w:val="20"/>
              </w:rPr>
              <w:t>Northmail ApS</w:t>
            </w:r>
          </w:p>
        </w:tc>
      </w:tr>
      <w:tr>
        <w:tc>
          <w:tcPr>
            <w:tcW w:type="dxa" w:w="4320"/>
          </w:tcPr>
          <w:p>
            <w:r>
              <w:rPr>
                <w:sz w:val="20"/>
              </w:rPr>
              <w:t>Adresse du siège</w:t>
            </w:r>
          </w:p>
        </w:tc>
        <w:tc>
          <w:tcPr>
            <w:tcW w:type="dxa" w:w="4320"/>
          </w:tcPr>
          <w:p>
            <w:r>
              <w:rPr>
                <w:sz w:val="20"/>
              </w:rPr>
              <w:t>Njalsgade 21, 2300 Copenhague, Danemark</w:t>
            </w:r>
          </w:p>
        </w:tc>
      </w:tr>
      <w:tr>
        <w:tc>
          <w:tcPr>
            <w:tcW w:type="dxa" w:w="4320"/>
          </w:tcPr>
          <w:p>
            <w:r>
              <w:rPr>
                <w:sz w:val="20"/>
              </w:rPr>
              <w:t>Personne de contact</w:t>
            </w:r>
          </w:p>
        </w:tc>
        <w:tc>
          <w:tcPr>
            <w:tcW w:type="dxa" w:w="4320"/>
          </w:tcPr>
          <w:p>
            <w:r>
              <w:rPr>
                <w:sz w:val="20"/>
              </w:rPr>
              <w:t>Mette Sørensen, responsable protection des données, privacy@northmail.example</w:t>
            </w:r>
          </w:p>
        </w:tc>
      </w:tr>
      <w:tr>
        <w:tc>
          <w:tcPr>
            <w:tcW w:type="dxa" w:w="4320"/>
          </w:tcPr>
          <w:p>
            <w:r>
              <w:rPr>
                <w:sz w:val="20"/>
              </w:rPr>
              <w:t>Description du service / du traitement</w:t>
            </w:r>
          </w:p>
        </w:tc>
        <w:tc>
          <w:tcPr>
            <w:tcW w:type="dxa" w:w="4320"/>
          </w:tcPr>
          <w:p>
            <w:r>
              <w:rPr>
                <w:sz w:val="20"/>
              </w:rPr>
              <w:t>Envoi d'e-mails transactionnels pour les notifications in-app ; Northmail traite uniquement les adresses des destinataires et les métadonnées des messages — les modèles de contenu restent chez Aventra</w:t>
            </w:r>
          </w:p>
        </w:tc>
      </w:tr>
      <w:tr>
        <w:tc>
          <w:tcPr>
            <w:tcW w:type="dxa" w:w="4320"/>
          </w:tcPr>
          <w:p>
            <w:r>
              <w:rPr>
                <w:sz w:val="20"/>
              </w:rPr>
              <w:t>Catégories de données personnelles</w:t>
            </w:r>
          </w:p>
        </w:tc>
        <w:tc>
          <w:tcPr>
            <w:tcW w:type="dxa" w:w="4320"/>
          </w:tcPr>
          <w:p>
            <w:r>
              <w:rPr>
                <w:sz w:val="20"/>
              </w:rPr>
              <w:t>Données de contact (nom, adresse e-mail) ; métadonnées de messages. Aucune catégorie particulière</w:t>
            </w:r>
          </w:p>
        </w:tc>
      </w:tr>
      <w:tr>
        <w:tc>
          <w:tcPr>
            <w:tcW w:type="dxa" w:w="4320"/>
          </w:tcPr>
          <w:p>
            <w:r>
              <w:rPr>
                <w:sz w:val="20"/>
              </w:rPr>
              <w:t>Catégories de personnes concernées</w:t>
            </w:r>
          </w:p>
        </w:tc>
        <w:tc>
          <w:tcPr>
            <w:tcW w:type="dxa" w:w="4320"/>
          </w:tcPr>
          <w:p>
            <w:r>
              <w:rPr>
                <w:sz w:val="20"/>
              </w:rPr>
              <w:t>Collaborateurs des clients et utilisateurs finaux destinataires des notifications</w:t>
            </w:r>
          </w:p>
        </w:tc>
      </w:tr>
      <w:tr>
        <w:tc>
          <w:tcPr>
            <w:tcW w:type="dxa" w:w="4320"/>
          </w:tcPr>
          <w:p>
            <w:r>
              <w:rPr>
                <w:sz w:val="20"/>
              </w:rPr>
              <w:t>Lieu de traitement (pays)</w:t>
            </w:r>
          </w:p>
        </w:tc>
        <w:tc>
          <w:tcPr>
            <w:tcW w:type="dxa" w:w="4320"/>
          </w:tcPr>
          <w:p>
            <w:r>
              <w:rPr>
                <w:sz w:val="20"/>
              </w:rPr>
              <w:t>Danemark (EEE)</w:t>
            </w:r>
          </w:p>
        </w:tc>
      </w:tr>
      <w:tr>
        <w:tc>
          <w:tcPr>
            <w:tcW w:type="dxa" w:w="4320"/>
          </w:tcPr>
          <w:p>
            <w:r>
              <w:rPr>
                <w:sz w:val="20"/>
              </w:rPr>
              <w:t>Mécanisme de transfert (CCT / adéquation / s.o. EEE uniquement)</w:t>
            </w:r>
          </w:p>
        </w:tc>
        <w:tc>
          <w:tcPr>
            <w:tcW w:type="dxa" w:w="4320"/>
          </w:tcPr>
          <w:p>
            <w:r>
              <w:rPr>
                <w:sz w:val="20"/>
              </w:rPr>
              <w:t>s.o. — le traitement reste au sein de l'EEE</w:t>
            </w:r>
          </w:p>
        </w:tc>
      </w:tr>
      <w:tr>
        <w:tc>
          <w:tcPr>
            <w:tcW w:type="dxa" w:w="4320"/>
          </w:tcPr>
          <w:p>
            <w:r>
              <w:rPr>
                <w:sz w:val="20"/>
              </w:rPr>
              <w:t>Garanties de sécurité (certifications / mesures)</w:t>
            </w:r>
          </w:p>
        </w:tc>
        <w:tc>
          <w:tcPr>
            <w:tcW w:type="dxa" w:w="4320"/>
          </w:tcPr>
          <w:p>
            <w:r>
              <w:rPr>
                <w:sz w:val="20"/>
              </w:rPr>
              <w:t>Certifié ISO 27001:2022 ; TLS en transit, AES-256 au repos ; test d'intrusion annuel par un tiers</w:t>
            </w:r>
          </w:p>
        </w:tc>
      </w:tr>
      <w:tr>
        <w:tc>
          <w:tcPr>
            <w:tcW w:type="dxa" w:w="4320"/>
          </w:tcPr>
          <w:p>
            <w:r>
              <w:rPr>
                <w:sz w:val="20"/>
              </w:rPr>
              <w:t>Date de prise d'effet</w:t>
            </w:r>
          </w:p>
        </w:tc>
        <w:tc>
          <w:tcPr>
            <w:tcW w:type="dxa" w:w="4320"/>
          </w:tcPr>
          <w:p>
            <w:r>
              <w:rPr>
                <w:sz w:val="20"/>
              </w:rPr>
              <w:t>2026-08-03</w:t>
            </w:r>
          </w:p>
        </w:tc>
      </w:tr>
      <w:tr>
        <w:tc>
          <w:tcPr>
            <w:tcW w:type="dxa" w:w="4320"/>
          </w:tcPr>
          <w:p>
            <w:r>
              <w:rPr>
                <w:sz w:val="20"/>
              </w:rPr>
              <w:t>Date limite et modalités d'objection</w:t>
            </w:r>
          </w:p>
        </w:tc>
        <w:tc>
          <w:tcPr>
            <w:tcW w:type="dxa" w:w="4320"/>
          </w:tcPr>
          <w:p>
            <w:r>
              <w:rPr>
                <w:sz w:val="20"/>
              </w:rPr>
              <w:t>2026-07-24 — e-mail à privacy@aventra.example en citant la référence SUBPROC-2026-014</w:t>
            </w:r>
          </w:p>
        </w:tc>
      </w:tr>
    </w:tbl>
    <w:p/>
    <w:p>
      <w:pPr>
        <w:pStyle w:val="Heading2"/>
      </w:pPr>
      <w:r>
        <w:rPr>
          <w:color w:val="0A2733"/>
        </w:rPr>
        <w:t>2. Votre droit d'objection</w:t>
      </w:r>
    </w:p>
    <w:p>
      <w:r>
        <w:t>Vous pouvez vous opposer à ce changement jusqu'au 2026-07-24 (21 jours à compter de la date de la présente notification, conformément à la clause 6.3 de notre DPA), par e-mail à privacy@aventra.example en citant la référence SUBPROC-2026-014. En cas d'objection, nous ferons des efforts raisonnables pour en tenir compte — par exemple en ne dirigeant pas vos données vers Northmail ApS — et, si aucune solution de contournement n'est possible, vous pourrez résilier les services concernés dans les conditions prévues par le DPA. À défaut d'objection dans le délai imparti, le changement prendra effet le 2026-08-03 conformément au DPA.</w:t>
      </w:r>
    </w:p>
    <w:p>
      <w:r>
        <w:t>Informations complémentaires : notre liste complète et à jour des sous-traitants ultérieurs est disponible à l'adresse https://trust.aventra.example/subprocessors. Les mêmes obligations de protection des données que celles prévues par notre DPA avec vous seront imposées à Northmail ApS par contrat écrit (article 28(4) du RGPD), et Aventra Software GmbH demeure pleinement responsable envers vous de leur exécution. Questions : dpo@aventra.example.</w:t>
      </w:r>
    </w:p>
    <w:p>
      <w:pPr>
        <w:pStyle w:val="Heading2"/>
      </w:pPr>
      <w:r>
        <w:rPr>
          <w:color w:val="0A2733"/>
        </w:rPr>
        <w:t>3. Variante e-mail</w:t>
      </w:r>
    </w:p>
    <w:p>
      <w:r>
        <w:t>Objet : Notification de changement de sous-traitant ultérieur — Northmail ApS (ajout) — date limite d'objection 2026-07-24</w:t>
      </w:r>
    </w:p>
    <w:p>
      <w:r>
        <w:t>Chère cliente, cher client,</w:t>
      </w:r>
    </w:p>
    <w:p>
      <w:r>
        <w:t>Conformément à l'article 28(2) du RGPD et à notre accord de traitement des données (DPA), nous vous informons de l'ajout envisagé d'un sous-traitant ultérieur :</w:t>
      </w:r>
    </w:p>
    <w:p>
      <w:r>
        <w:t>• Sous-traitant ultérieur : Northmail ApS, Njalsgade 21, 2300 Copenhague, Danemark (contact : Mette Sørensen, responsable protection des données, privacy@northmail.example)</w:t>
        <w:br/>
        <w:t>• Service / traitement : envoi d'e-mails transactionnels pour les notifications in-app ; adresses des destinataires et métadonnées des messages uniquement</w:t>
        <w:br/>
        <w:t>• Données personnelles : données de contact (nom, adresse e-mail) ; métadonnées de messages — concernant les collaborateurs des clients et les utilisateurs finaux destinataires des notifications</w:t>
        <w:br/>
        <w:t>• Lieu de traitement : Danemark (EEE) — mécanisme de transfert : s.o., le traitement reste au sein de l'EEE</w:t>
        <w:br/>
        <w:t>• Garanties de sécurité : certifié ISO 27001:2022 ; TLS en transit, AES-256 au repos ; test d'intrusion annuel par un tiers</w:t>
        <w:br/>
        <w:t>• Date de prise d'effet : 2026-08-03</w:t>
      </w:r>
    </w:p>
    <w:p>
      <w:r>
        <w:t>Vous pouvez émettre une objection jusqu'au 2026-07-24 par e-mail à privacy@aventra.example en citant la référence SUBPROC-2026-014. En cas d'objection, nous rechercherons une solution de contournement ; si aucune n'est possible, vous pourrez résilier les services concernés dans les conditions prévues par le DPA. À défaut d'objection dans le délai, le changement prendra effet comme indiqué ci-dessus.</w:t>
      </w:r>
    </w:p>
    <w:p>
      <w:r>
        <w:t>Notre liste actuelle des sous-traitants ultérieurs : https://trust.aventra.example/subprocessors</w:t>
      </w:r>
    </w:p>
    <w:p>
      <w:r>
        <w:t>Cordialement,</w:t>
        <w:br/>
        <w:t>Aventra Software GmbH — Équipe protection des données (dpo@aventra.example)</w:t>
      </w:r>
    </w:p>
    <w:p>
      <w:pPr>
        <w:pStyle w:val="Heading2"/>
      </w:pPr>
      <w:r>
        <w:rPr>
          <w:color w:val="0A2733"/>
        </w:rPr>
        <w:t>4. Modèle de réponse à une objection</w:t>
      </w:r>
    </w:p>
    <w:p>
      <w:r>
        <w:t>Chère cliente, cher client,</w:t>
      </w:r>
    </w:p>
    <w:p>
      <w:r>
        <w:t>Nous vous remercions de votre objection du 2026-07-15 concernant notre notification SUBPROC-2026-014 relative à Northmail ApS. Nous vous confirmons que vos données ne seront pas traitées par Northmail ApS pendant l'examen de votre objection.</w:t>
      </w:r>
    </w:p>
    <w:p>
      <w:r>
        <w:t>Nous reviendrons vers vous au plus tard le 2026-07-22 avec soit (a) une solution de contournement garantissant que vos données ne sont pas dirigées vers Northmail ApS, soit (b) la confirmation qu'aucune solution n'est possible, auquel cas vous pourrez résilier les services concernés sans pénalité dans les conditions prévues par le DPA, avec la période de réversibilité convenue.</w:t>
      </w:r>
    </w:p>
    <w:p>
      <w:r>
        <w:t>Votre objection et son issue seront consignées dans notre piste d'audit des traitements.</w:t>
      </w:r>
    </w:p>
    <w:p>
      <w:pPr>
        <w:pStyle w:val="Heading2"/>
      </w:pPr>
      <w:r>
        <w:rPr>
          <w:color w:val="0A2733"/>
        </w:rPr>
        <w:t>5. Circuit de validation (interne — à retirer avant envoi)</w:t>
      </w:r>
    </w:p>
    <w:tbl>
      <w:tblPr>
        <w:tblStyle w:val="TableGrid"/>
        <w:tblW w:type="auto" w:w="0"/>
        <w:tblLook w:firstColumn="1" w:firstRow="1" w:lastColumn="0" w:lastRow="0" w:noHBand="0" w:noVBand="1" w:val="04A0"/>
      </w:tblPr>
      <w:tblGrid>
        <w:gridCol w:w="2880"/>
        <w:gridCol w:w="2880"/>
        <w:gridCol w:w="2880"/>
      </w:tblGrid>
      <w:tr>
        <w:tc>
          <w:tcPr>
            <w:tcW w:type="dxa" w:w="2880"/>
            <w:shd w:val="clear" w:fill="0A2733"/>
          </w:tcPr>
          <w:p>
            <w:r>
              <w:rPr>
                <w:b/>
                <w:color w:val="FFFFFF"/>
                <w:sz w:val="20"/>
              </w:rPr>
              <w:t>Jalon</w:t>
            </w:r>
          </w:p>
        </w:tc>
        <w:tc>
          <w:tcPr>
            <w:tcW w:type="dxa" w:w="2880"/>
            <w:shd w:val="clear" w:fill="0A2733"/>
          </w:tcPr>
          <w:p>
            <w:r>
              <w:rPr>
                <w:b/>
                <w:color w:val="FFFFFF"/>
                <w:sz w:val="20"/>
              </w:rPr>
              <w:t>Responsable</w:t>
            </w:r>
          </w:p>
        </w:tc>
        <w:tc>
          <w:tcPr>
            <w:tcW w:type="dxa" w:w="2880"/>
            <w:shd w:val="clear" w:fill="0A2733"/>
          </w:tcPr>
          <w:p>
            <w:r>
              <w:rPr>
                <w:b/>
                <w:color w:val="FFFFFF"/>
                <w:sz w:val="20"/>
              </w:rPr>
              <w:t>Points de contrôle</w:t>
            </w:r>
          </w:p>
        </w:tc>
      </w:tr>
      <w:tr>
        <w:tc>
          <w:tcPr>
            <w:tcW w:type="dxa" w:w="2880"/>
          </w:tcPr>
          <w:p>
            <w:r>
              <w:rPr>
                <w:sz w:val="20"/>
              </w:rPr>
              <w:t>1. Revue juridique</w:t>
            </w:r>
          </w:p>
        </w:tc>
        <w:tc>
          <w:tcPr>
            <w:tcW w:type="dxa" w:w="2880"/>
          </w:tcPr>
          <w:p>
            <w:r>
              <w:rPr>
                <w:sz w:val="20"/>
              </w:rPr>
              <w:t>Juridique</w:t>
            </w:r>
          </w:p>
        </w:tc>
        <w:tc>
          <w:tcPr>
            <w:tcW w:type="dxa" w:w="2880"/>
          </w:tcPr>
          <w:p>
            <w:r>
              <w:rPr>
                <w:sz w:val="20"/>
              </w:rPr>
              <w:t>Délai de 21 jours (clause 6.3) confirmé comme le plus long applicable à l'ensemble des segments de clientèle ; DPA de répercussion Northmail signé le 2026-06-28</w:t>
            </w:r>
          </w:p>
        </w:tc>
      </w:tr>
      <w:tr>
        <w:tc>
          <w:tcPr>
            <w:tcW w:type="dxa" w:w="2880"/>
          </w:tcPr>
          <w:p>
            <w:r>
              <w:rPr>
                <w:sz w:val="20"/>
              </w:rPr>
              <w:t>2. Validation du DPO</w:t>
            </w:r>
          </w:p>
        </w:tc>
        <w:tc>
          <w:tcPr>
            <w:tcW w:type="dxa" w:w="2880"/>
          </w:tcPr>
          <w:p>
            <w:r>
              <w:rPr>
                <w:sz w:val="20"/>
              </w:rPr>
              <w:t>DPO</w:t>
            </w:r>
          </w:p>
        </w:tc>
        <w:tc>
          <w:tcPr>
            <w:tcW w:type="dxa" w:w="2880"/>
          </w:tcPr>
          <w:p>
            <w:r>
              <w:rPr>
                <w:sz w:val="20"/>
              </w:rPr>
              <w:t>Dossier de due diligence fournisseur NM-2026-03 complet ; traitement confirmé au sein de l'EEE uniquement, aucun mécanisme de transfert requis ; tous les champs de la notification complétés</w:t>
            </w:r>
          </w:p>
        </w:tc>
      </w:tr>
      <w:tr>
        <w:tc>
          <w:tcPr>
            <w:tcW w:type="dxa" w:w="2880"/>
          </w:tcPr>
          <w:p>
            <w:r>
              <w:rPr>
                <w:sz w:val="20"/>
              </w:rPr>
              <w:t>3. Publication</w:t>
            </w:r>
          </w:p>
        </w:tc>
        <w:tc>
          <w:tcPr>
            <w:tcW w:type="dxa" w:w="2880"/>
          </w:tcPr>
          <w:p>
            <w:r>
              <w:rPr>
                <w:sz w:val="20"/>
              </w:rPr>
              <w:t>Responsable de la page trust</w:t>
            </w:r>
          </w:p>
        </w:tc>
        <w:tc>
          <w:tcPr>
            <w:tcW w:type="dxa" w:w="2880"/>
          </w:tcPr>
          <w:p>
            <w:r>
              <w:rPr>
                <w:sz w:val="20"/>
              </w:rPr>
              <w:t>trust.aventra.example/subprocessors mise à jour le 2026-07-03, en cohérence avec la notification</w:t>
            </w:r>
          </w:p>
        </w:tc>
      </w:tr>
      <w:tr>
        <w:tc>
          <w:tcPr>
            <w:tcW w:type="dxa" w:w="2880"/>
          </w:tcPr>
          <w:p>
            <w:r>
              <w:rPr>
                <w:sz w:val="20"/>
              </w:rPr>
              <w:t>4. Notification et journalisation</w:t>
            </w:r>
          </w:p>
        </w:tc>
        <w:tc>
          <w:tcPr>
            <w:tcW w:type="dxa" w:w="2880"/>
          </w:tcPr>
          <w:p>
            <w:r>
              <w:rPr>
                <w:sz w:val="20"/>
              </w:rPr>
              <w:t>Ops privacy</w:t>
            </w:r>
          </w:p>
        </w:tc>
        <w:tc>
          <w:tcPr>
            <w:tcW w:type="dxa" w:w="2880"/>
          </w:tcPr>
          <w:p>
            <w:r>
              <w:rPr>
                <w:sz w:val="20"/>
              </w:rPr>
              <w:t>Notification envoyée par e-mail à 412 contacts de responsables du traitement abonnés le 2026-07-03 à 09:00 CET ; journal d'envoi archivé ; date limite d'objection 2026-07-24 inscrite à l'agenda ; mise en service de Northmail suspendue jusque-là</w:t>
            </w:r>
          </w:p>
        </w:tc>
      </w:tr>
    </w:tbl>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8A9397"/>
        <w:sz w:val="15"/>
      </w:rPr>
      <w:t>GDPR Subprocessor Change Notice Template v1.0 — 2026-07-03 — Orbiq — https://www.orbiqhq.com/templates/gdpr-subprocessor-change-notice — Not legal advice.</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Helvetica" w:hAnsi="Helvetic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