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color w:val="0A2733"/>
        </w:rPr>
        <w:t>GDPR Breach Notification Letter Pack</w:t>
      </w:r>
    </w:p>
    <w:p>
      <w:r>
        <w:rPr>
          <w:color w:val="5A6A72"/>
          <w:sz w:val="24"/>
        </w:rPr>
        <w:t>Article 33 authority notification · Article 34 data-subject letter · Article 33(5) breach log</w:t>
      </w:r>
    </w:p>
    <w:p>
      <w:r>
        <w:rPr>
          <w:b/>
          <w:color w:val="B88A00"/>
          <w:sz w:val="18"/>
        </w:rPr>
        <w:t>FREE TEMPLATE — DOCX · PDF · MD    |    Version 1.0 · Updated 2026-07-15</w:t>
      </w:r>
    </w:p>
    <w:p/>
    <w:p>
      <w:pPr>
        <w:pStyle w:val="Heading2"/>
      </w:pPr>
      <w:r>
        <w:t>How to use this pack</w:t>
      </w:r>
    </w:p>
    <w:p>
      <w:pPr>
        <w:pStyle w:val="ListBullet"/>
      </w:pPr>
      <w:r>
        <w:rPr>
          <w:sz w:val="20"/>
        </w:rPr>
        <w:t>Document A — file with your supervisory authority without undue delay and, where feasible, within 72 hours of becoming aware of the breach (GDPR Art 33(1)). Use the phased flag if information is incomplete (Art 33(4)).</w:t>
      </w:r>
    </w:p>
    <w:p>
      <w:pPr>
        <w:pStyle w:val="ListBullet"/>
      </w:pPr>
      <w:r>
        <w:rPr>
          <w:sz w:val="20"/>
        </w:rPr>
        <w:t>Document B — send to affected data subjects without undue delay when the breach is likely to result in a HIGH risk to their rights and freedoms (Art 34(1)), unless an Art 34(3) exception applies.</w:t>
      </w:r>
    </w:p>
    <w:p>
      <w:pPr>
        <w:pStyle w:val="ListBullet"/>
      </w:pPr>
      <w:r>
        <w:rPr>
          <w:sz w:val="20"/>
        </w:rPr>
        <w:t>Document C — complete for EVERY breach, including those you decide not to notify (Art 33(5)).</w:t>
      </w:r>
    </w:p>
    <w:p>
      <w:pPr>
        <w:pStyle w:val="ListBullet"/>
      </w:pPr>
      <w:r>
        <w:rPr>
          <w:sz w:val="20"/>
        </w:rPr>
        <w:t>Document D — one-page decision aid: which documents does this incident require?</w:t>
      </w:r>
    </w:p>
    <w:p>
      <w:r>
        <w:rPr>
          <w:i/>
          <w:color w:val="5A6A72"/>
          <w:sz w:val="18"/>
        </w:rPr>
        <w:t>The 72-hour clock runs from awareness — the moment a responsible person concludes with reasonable certainty that personal data was compromised (EDPB Guidelines 9/2022) — not from the end of forensics. UK: file with the ICO (online form or phone). Norway: file with Datatilsynet via Altinn. Cross-border in the EU/EEA: file with your lead supervisory authority (Art 56).</w:t>
      </w:r>
    </w:p>
    <w:p>
      <w:r>
        <w:br w:type="page"/>
      </w:r>
    </w:p>
    <w:p>
      <w:pPr>
        <w:pStyle w:val="Heading1"/>
      </w:pPr>
      <w:r>
        <w:t>Document A — Notification to the Supervisory Authority (Article 33)</w:t>
      </w:r>
    </w:p>
    <w:p>
      <w:r>
        <w:rPr>
          <w:i/>
          <w:color w:val="5A6A72"/>
          <w:sz w:val="18"/>
        </w:rPr>
        <w:t>Complete every section. Sections 2–5 map to Article 33(3)(a)–(d) — the legal minimum content. Mark the notification type and keep each filing in the update log of Document C.</w:t>
      </w:r>
    </w:p>
    <w:p>
      <w:pPr>
        <w:pStyle w:val="Heading3"/>
      </w:pPr>
      <w:r>
        <w:t>A.1 Filing details</w:t>
      </w:r>
    </w:p>
    <w:tbl>
      <w:tblPr>
        <w:tblStyle w:val="TableGrid"/>
        <w:tblW w:type="auto" w:w="0"/>
        <w:jc w:val="center"/>
        <w:tblLook w:firstColumn="1" w:firstRow="1" w:lastColumn="0" w:lastRow="0" w:noHBand="0" w:noVBand="1" w:val="04A0"/>
      </w:tblPr>
      <w:tblGrid>
        <w:gridCol w:w="4320"/>
        <w:gridCol w:w="4320"/>
      </w:tblGrid>
      <w:tr>
        <w:tc>
          <w:tcPr>
            <w:tcW w:type="dxa" w:w="3168"/>
            <w:shd w:val="clear" w:fill="F5F1E8"/>
          </w:tcPr>
          <w:p>
            <w:r>
              <w:rPr>
                <w:b/>
                <w:color w:val="0A2733"/>
                <w:sz w:val="18"/>
              </w:rPr>
              <w:t>To (supervisory authority)</w:t>
            </w:r>
          </w:p>
        </w:tc>
        <w:tc>
          <w:tcPr>
            <w:tcW w:type="dxa" w:w="6192"/>
          </w:tcPr>
          <w:p>
            <w:r>
              <w:rPr>
                <w:i/>
                <w:color w:val="5A6A72"/>
                <w:sz w:val="18"/>
              </w:rPr>
              <w:t>Competent authority; the lead supervisory authority if cross-border (Art 56)</w:t>
            </w:r>
          </w:p>
        </w:tc>
      </w:tr>
      <w:tr>
        <w:tc>
          <w:tcPr>
            <w:tcW w:type="dxa" w:w="3168"/>
            <w:shd w:val="clear" w:fill="F5F1E8"/>
          </w:tcPr>
          <w:p>
            <w:r>
              <w:rPr>
                <w:b/>
                <w:color w:val="0A2733"/>
                <w:sz w:val="18"/>
              </w:rPr>
              <w:t>From (controller)</w:t>
            </w:r>
          </w:p>
        </w:tc>
        <w:tc>
          <w:tcPr>
            <w:tcW w:type="dxa" w:w="6192"/>
          </w:tcPr>
          <w:p>
            <w:r>
              <w:rPr>
                <w:i/>
                <w:color w:val="5A6A72"/>
                <w:sz w:val="18"/>
              </w:rPr>
              <w:t>Legal entity name and registered address</w:t>
            </w:r>
          </w:p>
        </w:tc>
      </w:tr>
      <w:tr>
        <w:tc>
          <w:tcPr>
            <w:tcW w:type="dxa" w:w="3168"/>
            <w:shd w:val="clear" w:fill="F5F1E8"/>
          </w:tcPr>
          <w:p>
            <w:r>
              <w:rPr>
                <w:b/>
                <w:color w:val="0A2733"/>
                <w:sz w:val="18"/>
              </w:rPr>
              <w:t>Incident reference</w:t>
            </w:r>
          </w:p>
        </w:tc>
        <w:tc>
          <w:tcPr>
            <w:tcW w:type="dxa" w:w="6192"/>
          </w:tcPr>
          <w:p>
            <w:r>
              <w:rPr>
                <w:i/>
                <w:color w:val="5A6A72"/>
                <w:sz w:val="18"/>
              </w:rPr>
              <w:t>Internal ID, e.g. BREACH-2026-007</w:t>
            </w:r>
          </w:p>
        </w:tc>
      </w:tr>
      <w:tr>
        <w:tc>
          <w:tcPr>
            <w:tcW w:type="dxa" w:w="3168"/>
            <w:shd w:val="clear" w:fill="F5F1E8"/>
          </w:tcPr>
          <w:p>
            <w:r>
              <w:rPr>
                <w:b/>
                <w:color w:val="0A2733"/>
                <w:sz w:val="18"/>
              </w:rPr>
              <w:t>Notification type</w:t>
            </w:r>
          </w:p>
        </w:tc>
        <w:tc>
          <w:tcPr>
            <w:tcW w:type="dxa" w:w="6192"/>
          </w:tcPr>
          <w:p>
            <w:r>
              <w:rPr>
                <w:i/>
                <w:color w:val="5A6A72"/>
                <w:sz w:val="18"/>
              </w:rPr>
              <w:t>Initial / Update / Final (Art 33(4) phased notification)</w:t>
            </w:r>
          </w:p>
        </w:tc>
      </w:tr>
      <w:tr>
        <w:tc>
          <w:tcPr>
            <w:tcW w:type="dxa" w:w="3168"/>
            <w:shd w:val="clear" w:fill="F5F1E8"/>
          </w:tcPr>
          <w:p>
            <w:r>
              <w:rPr>
                <w:b/>
                <w:color w:val="0A2733"/>
                <w:sz w:val="18"/>
              </w:rPr>
              <w:t>Filed (date &amp; time)</w:t>
            </w:r>
          </w:p>
        </w:tc>
        <w:tc>
          <w:tcPr>
            <w:tcW w:type="dxa" w:w="6192"/>
          </w:tcPr>
          <w:p>
            <w:r>
              <w:rPr>
                <w:i/>
                <w:color w:val="5A6A72"/>
                <w:sz w:val="18"/>
              </w:rPr>
              <w:t>Timestamp of this filing</w:t>
            </w:r>
          </w:p>
        </w:tc>
      </w:tr>
    </w:tbl>
    <w:p/>
    <w:p>
      <w:pPr>
        <w:pStyle w:val="Heading3"/>
      </w:pPr>
      <w:r>
        <w:t>A.2 Awareness and timing (Art 33(1))</w:t>
      </w:r>
    </w:p>
    <w:tbl>
      <w:tblPr>
        <w:tblStyle w:val="TableGrid"/>
        <w:tblW w:type="auto" w:w="0"/>
        <w:jc w:val="center"/>
        <w:tblLook w:firstColumn="1" w:firstRow="1" w:lastColumn="0" w:lastRow="0" w:noHBand="0" w:noVBand="1" w:val="04A0"/>
      </w:tblPr>
      <w:tblGrid>
        <w:gridCol w:w="4320"/>
        <w:gridCol w:w="4320"/>
      </w:tblGrid>
      <w:tr>
        <w:tc>
          <w:tcPr>
            <w:tcW w:type="dxa" w:w="3168"/>
            <w:shd w:val="clear" w:fill="F5F1E8"/>
          </w:tcPr>
          <w:p>
            <w:r>
              <w:rPr>
                <w:b/>
                <w:color w:val="0A2733"/>
                <w:sz w:val="18"/>
              </w:rPr>
              <w:t>Awareness timestamp</w:t>
            </w:r>
          </w:p>
        </w:tc>
        <w:tc>
          <w:tcPr>
            <w:tcW w:type="dxa" w:w="6192"/>
          </w:tcPr>
          <w:p>
            <w:r>
              <w:rPr>
                <w:i/>
                <w:color w:val="5A6A72"/>
                <w:sz w:val="18"/>
              </w:rPr>
              <w:t>When a responsible person concluded a breach had likely occurred — starts the 72-hour clock</w:t>
            </w:r>
          </w:p>
        </w:tc>
      </w:tr>
      <w:tr>
        <w:tc>
          <w:tcPr>
            <w:tcW w:type="dxa" w:w="3168"/>
            <w:shd w:val="clear" w:fill="F5F1E8"/>
          </w:tcPr>
          <w:p>
            <w:r>
              <w:rPr>
                <w:b/>
                <w:color w:val="0A2733"/>
                <w:sz w:val="18"/>
              </w:rPr>
              <w:t>How we became aware</w:t>
            </w:r>
          </w:p>
        </w:tc>
        <w:tc>
          <w:tcPr>
            <w:tcW w:type="dxa" w:w="6192"/>
          </w:tcPr>
          <w:p>
            <w:r>
              <w:rPr>
                <w:i/>
                <w:color w:val="5A6A72"/>
                <w:sz w:val="18"/>
              </w:rPr>
              <w:t>Alert, processor notice under Art 33(2), customer report, audit finding…</w:t>
            </w:r>
          </w:p>
        </w:tc>
      </w:tr>
      <w:tr>
        <w:tc>
          <w:tcPr>
            <w:tcW w:type="dxa" w:w="3168"/>
            <w:shd w:val="clear" w:fill="F5F1E8"/>
          </w:tcPr>
          <w:p>
            <w:r>
              <w:rPr>
                <w:b/>
                <w:color w:val="0A2733"/>
                <w:sz w:val="18"/>
              </w:rPr>
              <w:t>Reasons for delay</w:t>
            </w:r>
          </w:p>
        </w:tc>
        <w:tc>
          <w:tcPr>
            <w:tcW w:type="dxa" w:w="6192"/>
          </w:tcPr>
          <w:p>
            <w:r>
              <w:rPr>
                <w:i/>
                <w:color w:val="5A6A72"/>
                <w:sz w:val="18"/>
              </w:rPr>
              <w:t>MANDATORY if this filing is later than 72 hours after awareness; otherwise n/a</w:t>
            </w:r>
          </w:p>
        </w:tc>
      </w:tr>
    </w:tbl>
    <w:p/>
    <w:p>
      <w:pPr>
        <w:pStyle w:val="Heading3"/>
      </w:pPr>
      <w:r>
        <w:t>A.3 Nature of the breach (Art 33(3)(a))</w:t>
      </w:r>
    </w:p>
    <w:tbl>
      <w:tblPr>
        <w:tblStyle w:val="TableGrid"/>
        <w:tblW w:type="auto" w:w="0"/>
        <w:jc w:val="center"/>
        <w:tblLook w:firstColumn="1" w:firstRow="1" w:lastColumn="0" w:lastRow="0" w:noHBand="0" w:noVBand="1" w:val="04A0"/>
      </w:tblPr>
      <w:tblGrid>
        <w:gridCol w:w="4320"/>
        <w:gridCol w:w="4320"/>
      </w:tblGrid>
      <w:tr>
        <w:tc>
          <w:tcPr>
            <w:tcW w:type="dxa" w:w="3168"/>
            <w:shd w:val="clear" w:fill="F5F1E8"/>
          </w:tcPr>
          <w:p>
            <w:r>
              <w:rPr>
                <w:b/>
                <w:color w:val="0A2733"/>
                <w:sz w:val="18"/>
              </w:rPr>
              <w:t>What happened</w:t>
            </w:r>
          </w:p>
        </w:tc>
        <w:tc>
          <w:tcPr>
            <w:tcW w:type="dxa" w:w="6192"/>
          </w:tcPr>
          <w:p>
            <w:r>
              <w:rPr>
                <w:i/>
                <w:color w:val="5A6A72"/>
                <w:sz w:val="18"/>
              </w:rPr>
              <w:t>Describe the incident and its cause; state whether it is a confidentiality, integrity and/or availability breach</w:t>
            </w:r>
          </w:p>
        </w:tc>
      </w:tr>
      <w:tr>
        <w:tc>
          <w:tcPr>
            <w:tcW w:type="dxa" w:w="3168"/>
            <w:shd w:val="clear" w:fill="F5F1E8"/>
          </w:tcPr>
          <w:p>
            <w:r>
              <w:rPr>
                <w:b/>
                <w:color w:val="0A2733"/>
                <w:sz w:val="18"/>
              </w:rPr>
              <w:t>Categories of data subjects</w:t>
            </w:r>
          </w:p>
        </w:tc>
        <w:tc>
          <w:tcPr>
            <w:tcW w:type="dxa" w:w="6192"/>
          </w:tcPr>
          <w:p>
            <w:r>
              <w:rPr>
                <w:i/>
                <w:color w:val="5A6A72"/>
                <w:sz w:val="18"/>
              </w:rPr>
              <w:t>E.g. customers, employees, end-users of customers</w:t>
            </w:r>
          </w:p>
        </w:tc>
      </w:tr>
      <w:tr>
        <w:tc>
          <w:tcPr>
            <w:tcW w:type="dxa" w:w="3168"/>
            <w:shd w:val="clear" w:fill="F5F1E8"/>
          </w:tcPr>
          <w:p>
            <w:r>
              <w:rPr>
                <w:b/>
                <w:color w:val="0A2733"/>
                <w:sz w:val="18"/>
              </w:rPr>
              <w:t>Approx. number of data subjects</w:t>
            </w:r>
          </w:p>
        </w:tc>
        <w:tc>
          <w:tcPr>
            <w:tcW w:type="dxa" w:w="6192"/>
          </w:tcPr>
          <w:p>
            <w:r>
              <w:rPr>
                <w:i/>
                <w:color w:val="5A6A72"/>
                <w:sz w:val="18"/>
              </w:rPr>
              <w:t>Number or range; update in later filings if it changes</w:t>
            </w:r>
          </w:p>
        </w:tc>
      </w:tr>
      <w:tr>
        <w:tc>
          <w:tcPr>
            <w:tcW w:type="dxa" w:w="3168"/>
            <w:shd w:val="clear" w:fill="F5F1E8"/>
          </w:tcPr>
          <w:p>
            <w:r>
              <w:rPr>
                <w:b/>
                <w:color w:val="0A2733"/>
                <w:sz w:val="18"/>
              </w:rPr>
              <w:t>Categories of personal data</w:t>
            </w:r>
          </w:p>
        </w:tc>
        <w:tc>
          <w:tcPr>
            <w:tcW w:type="dxa" w:w="6192"/>
          </w:tcPr>
          <w:p>
            <w:r>
              <w:rPr>
                <w:i/>
                <w:color w:val="5A6A72"/>
                <w:sz w:val="18"/>
              </w:rPr>
              <w:t>E.g. contact data, credentials, financial data — flag special categories (Art 9) explicitly</w:t>
            </w:r>
          </w:p>
        </w:tc>
      </w:tr>
      <w:tr>
        <w:tc>
          <w:tcPr>
            <w:tcW w:type="dxa" w:w="3168"/>
            <w:shd w:val="clear" w:fill="F5F1E8"/>
          </w:tcPr>
          <w:p>
            <w:r>
              <w:rPr>
                <w:b/>
                <w:color w:val="0A2733"/>
                <w:sz w:val="18"/>
              </w:rPr>
              <w:t>Approx. number of records</w:t>
            </w:r>
          </w:p>
        </w:tc>
        <w:tc>
          <w:tcPr>
            <w:tcW w:type="dxa" w:w="6192"/>
          </w:tcPr>
          <w:p>
            <w:r>
              <w:rPr>
                <w:i/>
                <w:color w:val="5A6A72"/>
                <w:sz w:val="18"/>
              </w:rPr>
              <w:t>Number or range</w:t>
            </w:r>
          </w:p>
        </w:tc>
      </w:tr>
    </w:tbl>
    <w:p/>
    <w:p>
      <w:pPr>
        <w:pStyle w:val="Heading3"/>
      </w:pPr>
      <w:r>
        <w:t>A.4 Contact point (Art 33(3)(b))</w:t>
      </w:r>
    </w:p>
    <w:tbl>
      <w:tblPr>
        <w:tblStyle w:val="TableGrid"/>
        <w:tblW w:type="auto" w:w="0"/>
        <w:jc w:val="center"/>
        <w:tblLook w:firstColumn="1" w:firstRow="1" w:lastColumn="0" w:lastRow="0" w:noHBand="0" w:noVBand="1" w:val="04A0"/>
      </w:tblPr>
      <w:tblGrid>
        <w:gridCol w:w="4320"/>
        <w:gridCol w:w="4320"/>
      </w:tblGrid>
      <w:tr>
        <w:tc>
          <w:tcPr>
            <w:tcW w:type="dxa" w:w="3168"/>
            <w:shd w:val="clear" w:fill="F5F1E8"/>
          </w:tcPr>
          <w:p>
            <w:r>
              <w:rPr>
                <w:b/>
                <w:color w:val="0A2733"/>
                <w:sz w:val="18"/>
              </w:rPr>
              <w:t>DPO / contact point</w:t>
            </w:r>
          </w:p>
        </w:tc>
        <w:tc>
          <w:tcPr>
            <w:tcW w:type="dxa" w:w="6192"/>
          </w:tcPr>
          <w:p>
            <w:r>
              <w:rPr>
                <w:i/>
                <w:color w:val="5A6A72"/>
                <w:sz w:val="18"/>
              </w:rPr>
              <w:t>Name, role, email, phone — where the authority can obtain more information</w:t>
            </w:r>
          </w:p>
        </w:tc>
      </w:tr>
    </w:tbl>
    <w:p/>
    <w:p>
      <w:pPr>
        <w:pStyle w:val="Heading3"/>
      </w:pPr>
      <w:r>
        <w:t>A.5 Likely consequences (Art 33(3)(c))</w:t>
      </w:r>
    </w:p>
    <w:tbl>
      <w:tblPr>
        <w:tblStyle w:val="TableGrid"/>
        <w:tblW w:type="auto" w:w="0"/>
        <w:jc w:val="center"/>
        <w:tblLook w:firstColumn="1" w:firstRow="1" w:lastColumn="0" w:lastRow="0" w:noHBand="0" w:noVBand="1" w:val="04A0"/>
      </w:tblPr>
      <w:tblGrid>
        <w:gridCol w:w="4320"/>
        <w:gridCol w:w="4320"/>
      </w:tblGrid>
      <w:tr>
        <w:tc>
          <w:tcPr>
            <w:tcW w:type="dxa" w:w="3168"/>
            <w:shd w:val="clear" w:fill="F5F1E8"/>
          </w:tcPr>
          <w:p>
            <w:r>
              <w:rPr>
                <w:b/>
                <w:color w:val="0A2733"/>
                <w:sz w:val="18"/>
              </w:rPr>
              <w:t>Likely consequences</w:t>
            </w:r>
          </w:p>
        </w:tc>
        <w:tc>
          <w:tcPr>
            <w:tcW w:type="dxa" w:w="6192"/>
          </w:tcPr>
          <w:p>
            <w:r>
              <w:rPr>
                <w:i/>
                <w:color w:val="5A6A72"/>
                <w:sz w:val="18"/>
              </w:rPr>
              <w:t>Realistic harms: identity theft, fraud, financial loss, reputational damage, exposure of special categories</w:t>
            </w:r>
          </w:p>
        </w:tc>
      </w:tr>
    </w:tbl>
    <w:p/>
    <w:p>
      <w:pPr>
        <w:pStyle w:val="Heading3"/>
      </w:pPr>
      <w:r>
        <w:t>A.6 Measures taken or proposed (Art 33(3)(d))</w:t>
      </w:r>
    </w:p>
    <w:tbl>
      <w:tblPr>
        <w:tblStyle w:val="TableGrid"/>
        <w:tblW w:type="auto" w:w="0"/>
        <w:jc w:val="center"/>
        <w:tblLook w:firstColumn="1" w:firstRow="1" w:lastColumn="0" w:lastRow="0" w:noHBand="0" w:noVBand="1" w:val="04A0"/>
      </w:tblPr>
      <w:tblGrid>
        <w:gridCol w:w="4320"/>
        <w:gridCol w:w="4320"/>
      </w:tblGrid>
      <w:tr>
        <w:tc>
          <w:tcPr>
            <w:tcW w:type="dxa" w:w="3168"/>
            <w:shd w:val="clear" w:fill="F5F1E8"/>
          </w:tcPr>
          <w:p>
            <w:r>
              <w:rPr>
                <w:b/>
                <w:color w:val="0A2733"/>
                <w:sz w:val="18"/>
              </w:rPr>
              <w:t>Containment &amp; remediation</w:t>
            </w:r>
          </w:p>
        </w:tc>
        <w:tc>
          <w:tcPr>
            <w:tcW w:type="dxa" w:w="6192"/>
          </w:tcPr>
          <w:p>
            <w:r>
              <w:rPr>
                <w:i/>
                <w:color w:val="5A6A72"/>
                <w:sz w:val="18"/>
              </w:rPr>
              <w:t>What has been done to address the breach</w:t>
            </w:r>
          </w:p>
        </w:tc>
      </w:tr>
      <w:tr>
        <w:tc>
          <w:tcPr>
            <w:tcW w:type="dxa" w:w="3168"/>
            <w:shd w:val="clear" w:fill="F5F1E8"/>
          </w:tcPr>
          <w:p>
            <w:r>
              <w:rPr>
                <w:b/>
                <w:color w:val="0A2733"/>
                <w:sz w:val="18"/>
              </w:rPr>
              <w:t>Mitigation of adverse effects</w:t>
            </w:r>
          </w:p>
        </w:tc>
        <w:tc>
          <w:tcPr>
            <w:tcW w:type="dxa" w:w="6192"/>
          </w:tcPr>
          <w:p>
            <w:r>
              <w:rPr>
                <w:i/>
                <w:color w:val="5A6A72"/>
                <w:sz w:val="18"/>
              </w:rPr>
              <w:t>Measures reducing harm to data subjects, e.g. forced password reset, credential revocation</w:t>
            </w:r>
          </w:p>
        </w:tc>
      </w:tr>
    </w:tbl>
    <w:p/>
    <w:p>
      <w:pPr>
        <w:pStyle w:val="Heading3"/>
      </w:pPr>
      <w:r>
        <w:t>A.7 Data-subject communication position</w:t>
      </w:r>
    </w:p>
    <w:tbl>
      <w:tblPr>
        <w:tblStyle w:val="TableGrid"/>
        <w:tblW w:type="auto" w:w="0"/>
        <w:jc w:val="center"/>
        <w:tblLook w:firstColumn="1" w:firstRow="1" w:lastColumn="0" w:lastRow="0" w:noHBand="0" w:noVBand="1" w:val="04A0"/>
      </w:tblPr>
      <w:tblGrid>
        <w:gridCol w:w="4320"/>
        <w:gridCol w:w="4320"/>
      </w:tblGrid>
      <w:tr>
        <w:tc>
          <w:tcPr>
            <w:tcW w:type="dxa" w:w="3168"/>
            <w:shd w:val="clear" w:fill="F5F1E8"/>
          </w:tcPr>
          <w:p>
            <w:r>
              <w:rPr>
                <w:b/>
                <w:color w:val="0A2733"/>
                <w:sz w:val="18"/>
              </w:rPr>
              <w:t>Risk assessment</w:t>
            </w:r>
          </w:p>
        </w:tc>
        <w:tc>
          <w:tcPr>
            <w:tcW w:type="dxa" w:w="6192"/>
          </w:tcPr>
          <w:p>
            <w:r>
              <w:rPr>
                <w:i/>
                <w:color w:val="5A6A72"/>
                <w:sz w:val="18"/>
              </w:rPr>
              <w:t>Unlikely risk / risk / high risk — with brief reasoning</w:t>
            </w:r>
          </w:p>
        </w:tc>
      </w:tr>
      <w:tr>
        <w:tc>
          <w:tcPr>
            <w:tcW w:type="dxa" w:w="3168"/>
            <w:shd w:val="clear" w:fill="F5F1E8"/>
          </w:tcPr>
          <w:p>
            <w:r>
              <w:rPr>
                <w:b/>
                <w:color w:val="0A2733"/>
                <w:sz w:val="18"/>
              </w:rPr>
              <w:t>Article 34 position</w:t>
            </w:r>
          </w:p>
        </w:tc>
        <w:tc>
          <w:tcPr>
            <w:tcW w:type="dxa" w:w="6192"/>
          </w:tcPr>
          <w:p>
            <w:r>
              <w:rPr>
                <w:i/>
                <w:color w:val="5A6A72"/>
                <w:sz w:val="18"/>
              </w:rPr>
              <w:t>Communication sent or planned (date), or exception relied on: 34(3)(a) unintelligible data, 34(3)(b) risk removed, 34(3)(c) public communication</w:t>
            </w:r>
          </w:p>
        </w:tc>
      </w:tr>
    </w:tbl>
    <w:p/>
    <w:p>
      <w:pPr>
        <w:pStyle w:val="Heading3"/>
      </w:pPr>
      <w:r>
        <w:t>A.8 Cross-border processing (Art 56)</w:t>
      </w:r>
    </w:p>
    <w:tbl>
      <w:tblPr>
        <w:tblStyle w:val="TableGrid"/>
        <w:tblW w:type="auto" w:w="0"/>
        <w:jc w:val="center"/>
        <w:tblLook w:firstColumn="1" w:firstRow="1" w:lastColumn="0" w:lastRow="0" w:noHBand="0" w:noVBand="1" w:val="04A0"/>
      </w:tblPr>
      <w:tblGrid>
        <w:gridCol w:w="4320"/>
        <w:gridCol w:w="4320"/>
      </w:tblGrid>
      <w:tr>
        <w:tc>
          <w:tcPr>
            <w:tcW w:type="dxa" w:w="3168"/>
            <w:shd w:val="clear" w:fill="F5F1E8"/>
          </w:tcPr>
          <w:p>
            <w:r>
              <w:rPr>
                <w:b/>
                <w:color w:val="0A2733"/>
                <w:sz w:val="18"/>
              </w:rPr>
              <w:t>Cross-border?</w:t>
            </w:r>
          </w:p>
        </w:tc>
        <w:tc>
          <w:tcPr>
            <w:tcW w:type="dxa" w:w="6192"/>
          </w:tcPr>
          <w:p>
            <w:r>
              <w:rPr>
                <w:i/>
                <w:color w:val="5A6A72"/>
                <w:sz w:val="18"/>
              </w:rPr>
              <w:t>Are data subjects in more than one Member State affected?</w:t>
            </w:r>
          </w:p>
        </w:tc>
      </w:tr>
      <w:tr>
        <w:tc>
          <w:tcPr>
            <w:tcW w:type="dxa" w:w="3168"/>
            <w:shd w:val="clear" w:fill="F5F1E8"/>
          </w:tcPr>
          <w:p>
            <w:r>
              <w:rPr>
                <w:b/>
                <w:color w:val="0A2733"/>
                <w:sz w:val="18"/>
              </w:rPr>
              <w:t>Lead authority basis</w:t>
            </w:r>
          </w:p>
        </w:tc>
        <w:tc>
          <w:tcPr>
            <w:tcW w:type="dxa" w:w="6192"/>
          </w:tcPr>
          <w:p>
            <w:r>
              <w:rPr>
                <w:i/>
                <w:color w:val="5A6A72"/>
                <w:sz w:val="18"/>
              </w:rPr>
              <w:t>Main-establishment reasoning identifying the lead supervisory authority</w:t>
            </w:r>
          </w:p>
        </w:tc>
      </w:tr>
    </w:tbl>
    <w:p/>
    <w:p>
      <w:r>
        <w:br w:type="page"/>
      </w:r>
    </w:p>
    <w:p>
      <w:pPr>
        <w:pStyle w:val="Heading1"/>
      </w:pPr>
      <w:r>
        <w:t>Document B — Communication to Data Subjects (Article 34)</w:t>
      </w:r>
    </w:p>
    <w:p>
      <w:r>
        <w:rPr>
          <w:i/>
          <w:color w:val="5A6A72"/>
          <w:sz w:val="18"/>
        </w:rPr>
        <w:t>Required without undue delay when the breach is likely to result in a HIGH risk to data subjects' rights and freedoms. Must be in clear and plain language and contain at least the contact point, likely consequences and measures (Art 34(2) → Art 33(3)(b),(c),(d)). Replace bracketed text; keep sentences short; avoid technical and legal jargon.</w:t>
      </w:r>
    </w:p>
    <w:p>
      <w:r>
        <w:rPr>
          <w:b/>
          <w:color w:val="0A2733"/>
        </w:rPr>
        <w:t xml:space="preserve">Subject: </w:t>
      </w:r>
      <w:r>
        <w:rPr>
          <w:i w:val="0"/>
          <w:color w:val="5A6A72"/>
        </w:rPr>
        <w:t>Important security notice about your personal data</w:t>
      </w:r>
    </w:p>
    <w:p>
      <w:r>
        <w:rPr>
          <w:b w:val="0"/>
        </w:rPr>
        <w:t>Dear [customer name],</w:t>
      </w:r>
    </w:p>
    <w:p>
      <w:r>
        <w:rPr>
          <w:b/>
          <w:color w:val="0A2733"/>
        </w:rPr>
        <w:t xml:space="preserve">What happened </w:t>
      </w:r>
      <w:r>
        <w:rPr>
          <w:i w:val="0"/>
          <w:color w:val="5A6A72"/>
        </w:rPr>
        <w:t>On [date], we discovered a data security incident at [Company]. [One or two plain-language sentences: what happened and when it was contained.]</w:t>
      </w:r>
    </w:p>
    <w:p>
      <w:r>
        <w:rPr>
          <w:b/>
          <w:color w:val="0A2733"/>
        </w:rPr>
        <w:t xml:space="preserve">What information was involved </w:t>
      </w:r>
      <w:r>
        <w:rPr>
          <w:i/>
          <w:color w:val="5A6A72"/>
        </w:rPr>
        <w:t>[The categories of your personal data affected — e.g. name, email address, hashed password. State clearly what was NOT affected, e.g. payment data.]</w:t>
      </w:r>
    </w:p>
    <w:p>
      <w:r>
        <w:rPr>
          <w:b/>
          <w:color w:val="0A2733"/>
        </w:rPr>
        <w:t xml:space="preserve">What this could mean for you </w:t>
      </w:r>
      <w:r>
        <w:rPr>
          <w:i/>
          <w:color w:val="5A6A72"/>
        </w:rPr>
        <w:t>[The realistic consequences — e.g. phishing emails that look like they come from us, attempted log-ins using your email address.]</w:t>
      </w:r>
    </w:p>
    <w:p>
      <w:r>
        <w:rPr>
          <w:b/>
          <w:color w:val="0A2733"/>
        </w:rPr>
        <w:t xml:space="preserve">What we are doing </w:t>
      </w:r>
      <w:r>
        <w:rPr>
          <w:i/>
          <w:color w:val="5A6A72"/>
        </w:rPr>
        <w:t>[Containment, investigation, notification of the supervisory authority, security improvements.]</w:t>
      </w:r>
    </w:p>
    <w:p>
      <w:r>
        <w:rPr>
          <w:b/>
          <w:color w:val="0A2733"/>
        </w:rPr>
        <w:t xml:space="preserve">What you can do </w:t>
      </w:r>
      <w:r>
        <w:rPr>
          <w:i/>
          <w:color w:val="5A6A72"/>
        </w:rPr>
        <w:t>[Concrete steps: reset your password, enable two-factor authentication, watch for suspicious emails, monitor account statements. Be specific.]</w:t>
      </w:r>
    </w:p>
    <w:p>
      <w:r>
        <w:rPr>
          <w:b/>
          <w:color w:val="0A2733"/>
        </w:rPr>
        <w:t xml:space="preserve">Where to get more information </w:t>
      </w:r>
      <w:r>
        <w:rPr>
          <w:i/>
          <w:color w:val="5A6A72"/>
        </w:rPr>
        <w:t>[DPO / contact point: name, email, phone — and a status page if available.]</w:t>
      </w:r>
    </w:p>
    <w:p>
      <w:r>
        <w:rPr>
          <w:b/>
          <w:color w:val="0A2733"/>
        </w:rPr>
        <w:t xml:space="preserve">Closing </w:t>
      </w:r>
      <w:r>
        <w:rPr>
          <w:i w:val="0"/>
          <w:color w:val="5A6A72"/>
        </w:rPr>
        <w:t>We apologise for the concern this incident may cause. We will keep you informed as our investigation progresses. — [Name, role, Company]</w:t>
      </w:r>
    </w:p>
    <w:p>
      <w:pPr>
        <w:pStyle w:val="Heading3"/>
      </w:pPr>
      <w:r>
        <w:t>Public-communication variant (Art 34(3)(c))</w:t>
      </w:r>
    </w:p>
    <w:p>
      <w:r>
        <w:rPr>
          <w:i/>
          <w:color w:val="5A6A72"/>
          <w:sz w:val="18"/>
        </w:rPr>
        <w:t>If contacting each data subject individually would involve disproportionate effort, publish the same content as a public communication (website banner, press notice) that informs data subjects in an equally effective manner — and record the channel choice and reasoning in Document C.</w:t>
      </w:r>
    </w:p>
    <w:p>
      <w:r>
        <w:br w:type="page"/>
      </w:r>
    </w:p>
    <w:p>
      <w:pPr>
        <w:pStyle w:val="Heading1"/>
      </w:pPr>
      <w:r>
        <w:t>Document C — Internal Breach Log Entry (Article 33(5))</w:t>
      </w:r>
    </w:p>
    <w:p>
      <w:r>
        <w:rPr>
          <w:i/>
          <w:color w:val="5A6A72"/>
          <w:sz w:val="18"/>
        </w:rPr>
        <w:t>Complete one entry per incident — including breaches you decide NOT to notify. This register is how a supervisory authority verifies Article 33 compliance.</w:t>
      </w:r>
    </w:p>
    <w:tbl>
      <w:tblPr>
        <w:tblStyle w:val="TableGrid"/>
        <w:tblW w:type="auto" w:w="0"/>
        <w:jc w:val="center"/>
        <w:tblLook w:firstColumn="1" w:firstRow="1" w:lastColumn="0" w:lastRow="0" w:noHBand="0" w:noVBand="1" w:val="04A0"/>
      </w:tblPr>
      <w:tblGrid>
        <w:gridCol w:w="4320"/>
        <w:gridCol w:w="4320"/>
      </w:tblGrid>
      <w:tr>
        <w:tc>
          <w:tcPr>
            <w:tcW w:type="dxa" w:w="3168"/>
            <w:shd w:val="clear" w:fill="F5F1E8"/>
          </w:tcPr>
          <w:p>
            <w:r>
              <w:rPr>
                <w:b/>
                <w:color w:val="0A2733"/>
                <w:sz w:val="18"/>
              </w:rPr>
              <w:t>Incident reference</w:t>
            </w:r>
          </w:p>
        </w:tc>
        <w:tc>
          <w:tcPr>
            <w:tcW w:type="dxa" w:w="6192"/>
          </w:tcPr>
          <w:p>
            <w:r>
              <w:rPr>
                <w:i/>
                <w:color w:val="5A6A72"/>
                <w:sz w:val="18"/>
              </w:rPr>
              <w:t>Internal ID</w:t>
            </w:r>
          </w:p>
        </w:tc>
      </w:tr>
      <w:tr>
        <w:tc>
          <w:tcPr>
            <w:tcW w:type="dxa" w:w="3168"/>
            <w:shd w:val="clear" w:fill="F5F1E8"/>
          </w:tcPr>
          <w:p>
            <w:r>
              <w:rPr>
                <w:b/>
                <w:color w:val="0A2733"/>
                <w:sz w:val="18"/>
              </w:rPr>
              <w:t>Awareness timestamp / how</w:t>
            </w:r>
          </w:p>
        </w:tc>
        <w:tc>
          <w:tcPr>
            <w:tcW w:type="dxa" w:w="6192"/>
          </w:tcPr>
          <w:p>
            <w:r>
              <w:rPr>
                <w:i/>
                <w:color w:val="5A6A72"/>
                <w:sz w:val="18"/>
              </w:rPr>
              <w:t>When the clock started and what triggered awareness</w:t>
            </w:r>
          </w:p>
        </w:tc>
      </w:tr>
      <w:tr>
        <w:tc>
          <w:tcPr>
            <w:tcW w:type="dxa" w:w="3168"/>
            <w:shd w:val="clear" w:fill="F5F1E8"/>
          </w:tcPr>
          <w:p>
            <w:r>
              <w:rPr>
                <w:b/>
                <w:color w:val="0A2733"/>
                <w:sz w:val="18"/>
              </w:rPr>
              <w:t>Facts of the breach</w:t>
            </w:r>
          </w:p>
        </w:tc>
        <w:tc>
          <w:tcPr>
            <w:tcW w:type="dxa" w:w="6192"/>
          </w:tcPr>
          <w:p>
            <w:r>
              <w:rPr>
                <w:i/>
                <w:color w:val="5A6A72"/>
                <w:sz w:val="18"/>
              </w:rPr>
              <w:t>Nature, cause, data subjects and records affected</w:t>
            </w:r>
          </w:p>
        </w:tc>
      </w:tr>
      <w:tr>
        <w:tc>
          <w:tcPr>
            <w:tcW w:type="dxa" w:w="3168"/>
            <w:shd w:val="clear" w:fill="F5F1E8"/>
          </w:tcPr>
          <w:p>
            <w:r>
              <w:rPr>
                <w:b/>
                <w:color w:val="0A2733"/>
                <w:sz w:val="18"/>
              </w:rPr>
              <w:t>Effects</w:t>
            </w:r>
          </w:p>
        </w:tc>
        <w:tc>
          <w:tcPr>
            <w:tcW w:type="dxa" w:w="6192"/>
          </w:tcPr>
          <w:p>
            <w:r>
              <w:rPr>
                <w:i/>
                <w:color w:val="5A6A72"/>
                <w:sz w:val="18"/>
              </w:rPr>
              <w:t>Actual and likely consequences observed</w:t>
            </w:r>
          </w:p>
        </w:tc>
      </w:tr>
      <w:tr>
        <w:tc>
          <w:tcPr>
            <w:tcW w:type="dxa" w:w="3168"/>
            <w:shd w:val="clear" w:fill="F5F1E8"/>
          </w:tcPr>
          <w:p>
            <w:r>
              <w:rPr>
                <w:b/>
                <w:color w:val="0A2733"/>
                <w:sz w:val="18"/>
              </w:rPr>
              <w:t>Risk assessment &amp; reasoning</w:t>
            </w:r>
          </w:p>
        </w:tc>
        <w:tc>
          <w:tcPr>
            <w:tcW w:type="dxa" w:w="6192"/>
          </w:tcPr>
          <w:p>
            <w:r>
              <w:rPr>
                <w:i/>
                <w:color w:val="5A6A72"/>
                <w:sz w:val="18"/>
              </w:rPr>
              <w:t>Unlikely risk / risk / high risk — and why</w:t>
            </w:r>
          </w:p>
        </w:tc>
      </w:tr>
      <w:tr>
        <w:tc>
          <w:tcPr>
            <w:tcW w:type="dxa" w:w="3168"/>
            <w:shd w:val="clear" w:fill="F5F1E8"/>
          </w:tcPr>
          <w:p>
            <w:r>
              <w:rPr>
                <w:b/>
                <w:color w:val="0A2733"/>
                <w:sz w:val="18"/>
              </w:rPr>
              <w:t>Authority notified?</w:t>
            </w:r>
          </w:p>
        </w:tc>
        <w:tc>
          <w:tcPr>
            <w:tcW w:type="dxa" w:w="6192"/>
          </w:tcPr>
          <w:p>
            <w:r>
              <w:rPr>
                <w:i/>
                <w:color w:val="5A6A72"/>
                <w:sz w:val="18"/>
              </w:rPr>
              <w:t>Yes (date, reference) / No — reasoning: unlikely to result in a risk</w:t>
            </w:r>
          </w:p>
        </w:tc>
      </w:tr>
      <w:tr>
        <w:tc>
          <w:tcPr>
            <w:tcW w:type="dxa" w:w="3168"/>
            <w:shd w:val="clear" w:fill="F5F1E8"/>
          </w:tcPr>
          <w:p>
            <w:r>
              <w:rPr>
                <w:b/>
                <w:color w:val="0A2733"/>
                <w:sz w:val="18"/>
              </w:rPr>
              <w:t>Data subjects notified?</w:t>
            </w:r>
          </w:p>
        </w:tc>
        <w:tc>
          <w:tcPr>
            <w:tcW w:type="dxa" w:w="6192"/>
          </w:tcPr>
          <w:p>
            <w:r>
              <w:rPr>
                <w:i/>
                <w:color w:val="5A6A72"/>
                <w:sz w:val="18"/>
              </w:rPr>
              <w:t>Yes (date, channel) / No — which Art 34(3) exception and why</w:t>
            </w:r>
          </w:p>
        </w:tc>
      </w:tr>
      <w:tr>
        <w:tc>
          <w:tcPr>
            <w:tcW w:type="dxa" w:w="3168"/>
            <w:shd w:val="clear" w:fill="F5F1E8"/>
          </w:tcPr>
          <w:p>
            <w:r>
              <w:rPr>
                <w:b/>
                <w:color w:val="0A2733"/>
                <w:sz w:val="18"/>
              </w:rPr>
              <w:t>Processor notice (Art 33(2))</w:t>
            </w:r>
          </w:p>
        </w:tc>
        <w:tc>
          <w:tcPr>
            <w:tcW w:type="dxa" w:w="6192"/>
          </w:tcPr>
          <w:p>
            <w:r>
              <w:rPr>
                <w:i/>
                <w:color w:val="5A6A72"/>
                <w:sz w:val="18"/>
              </w:rPr>
              <w:t>Which processor informed us and when — if the breach originated at a processor</w:t>
            </w:r>
          </w:p>
        </w:tc>
      </w:tr>
      <w:tr>
        <w:tc>
          <w:tcPr>
            <w:tcW w:type="dxa" w:w="3168"/>
            <w:shd w:val="clear" w:fill="F5F1E8"/>
          </w:tcPr>
          <w:p>
            <w:r>
              <w:rPr>
                <w:b/>
                <w:color w:val="0A2733"/>
                <w:sz w:val="18"/>
              </w:rPr>
              <w:t>Remedial action</w:t>
            </w:r>
          </w:p>
        </w:tc>
        <w:tc>
          <w:tcPr>
            <w:tcW w:type="dxa" w:w="6192"/>
          </w:tcPr>
          <w:p>
            <w:r>
              <w:rPr>
                <w:i/>
                <w:color w:val="5A6A72"/>
                <w:sz w:val="18"/>
              </w:rPr>
              <w:t>What was fixed, changed, or improved as a result</w:t>
            </w:r>
          </w:p>
        </w:tc>
      </w:tr>
      <w:tr>
        <w:tc>
          <w:tcPr>
            <w:tcW w:type="dxa" w:w="3168"/>
            <w:shd w:val="clear" w:fill="F5F1E8"/>
          </w:tcPr>
          <w:p>
            <w:r>
              <w:rPr>
                <w:b/>
                <w:color w:val="0A2733"/>
                <w:sz w:val="18"/>
              </w:rPr>
              <w:t>Filings log</w:t>
            </w:r>
          </w:p>
        </w:tc>
        <w:tc>
          <w:tcPr>
            <w:tcW w:type="dxa" w:w="6192"/>
          </w:tcPr>
          <w:p>
            <w:r>
              <w:rPr>
                <w:i/>
                <w:color w:val="5A6A72"/>
                <w:sz w:val="18"/>
              </w:rPr>
              <w:t>Initial / update / final notifications: dates and references</w:t>
            </w:r>
          </w:p>
        </w:tc>
      </w:tr>
    </w:tbl>
    <w:p/>
    <w:p>
      <w:r>
        <w:br w:type="page"/>
      </w:r>
    </w:p>
    <w:p>
      <w:pPr>
        <w:pStyle w:val="Heading1"/>
      </w:pPr>
      <w:r>
        <w:t>Document D — Notify-or-Not Decision Aid</w:t>
      </w:r>
    </w:p>
    <w:tbl>
      <w:tblPr>
        <w:tblStyle w:val="TableGrid"/>
        <w:tblW w:type="auto" w:w="0"/>
        <w:tblLook w:firstColumn="1" w:firstRow="1" w:lastColumn="0" w:lastRow="0" w:noHBand="0" w:noVBand="1" w:val="04A0"/>
      </w:tblPr>
      <w:tblGrid>
        <w:gridCol w:w="4320"/>
        <w:gridCol w:w="4320"/>
      </w:tblGrid>
      <w:tr>
        <w:tc>
          <w:tcPr>
            <w:tcW w:type="dxa" w:w="4320"/>
            <w:shd w:val="clear" w:fill="F2C744"/>
          </w:tcPr>
          <w:p>
            <w:r>
              <w:rPr>
                <w:b/>
                <w:color w:val="0A2733"/>
                <w:sz w:val="18"/>
              </w:rPr>
              <w:t>Situation</w:t>
            </w:r>
          </w:p>
        </w:tc>
        <w:tc>
          <w:tcPr>
            <w:tcW w:type="dxa" w:w="4320"/>
            <w:shd w:val="clear" w:fill="F2C744"/>
          </w:tcPr>
          <w:p>
            <w:r>
              <w:rPr>
                <w:b/>
                <w:color w:val="0A2733"/>
                <w:sz w:val="18"/>
              </w:rPr>
              <w:t>What you must produce</w:t>
            </w:r>
          </w:p>
        </w:tc>
      </w:tr>
      <w:tr>
        <w:tc>
          <w:tcPr>
            <w:tcW w:type="dxa" w:w="4320"/>
          </w:tcPr>
          <w:p>
            <w:r>
              <w:rPr>
                <w:sz w:val="18"/>
              </w:rPr>
              <w:t>Breach unlikely to result in a risk</w:t>
            </w:r>
          </w:p>
        </w:tc>
        <w:tc>
          <w:tcPr>
            <w:tcW w:type="dxa" w:w="4320"/>
          </w:tcPr>
          <w:p>
            <w:r>
              <w:rPr>
                <w:sz w:val="18"/>
              </w:rPr>
              <w:t>Document C only — log it with your reasoning</w:t>
            </w:r>
          </w:p>
        </w:tc>
      </w:tr>
      <w:tr>
        <w:tc>
          <w:tcPr>
            <w:tcW w:type="dxa" w:w="4320"/>
          </w:tcPr>
          <w:p>
            <w:r>
              <w:rPr>
                <w:sz w:val="18"/>
              </w:rPr>
              <w:t>Breach likely to result in a risk</w:t>
            </w:r>
          </w:p>
        </w:tc>
        <w:tc>
          <w:tcPr>
            <w:tcW w:type="dxa" w:w="4320"/>
          </w:tcPr>
          <w:p>
            <w:r>
              <w:rPr>
                <w:sz w:val="18"/>
              </w:rPr>
              <w:t>Document A within 72h + Document C</w:t>
            </w:r>
          </w:p>
        </w:tc>
      </w:tr>
      <w:tr>
        <w:tc>
          <w:tcPr>
            <w:tcW w:type="dxa" w:w="4320"/>
          </w:tcPr>
          <w:p>
            <w:r>
              <w:rPr>
                <w:sz w:val="18"/>
              </w:rPr>
              <w:t>Breach likely to result in a HIGH risk</w:t>
            </w:r>
          </w:p>
        </w:tc>
        <w:tc>
          <w:tcPr>
            <w:tcW w:type="dxa" w:w="4320"/>
          </w:tcPr>
          <w:p>
            <w:r>
              <w:rPr>
                <w:sz w:val="18"/>
              </w:rPr>
              <w:t>Document A + Document B without undue delay + Document C</w:t>
            </w:r>
          </w:p>
        </w:tc>
      </w:tr>
      <w:tr>
        <w:tc>
          <w:tcPr>
            <w:tcW w:type="dxa" w:w="4320"/>
          </w:tcPr>
          <w:p>
            <w:r>
              <w:rPr>
                <w:sz w:val="18"/>
              </w:rPr>
              <w:t>High risk, but data unintelligible (e.g. encrypted, keys safe) — Art 34(3)(a)</w:t>
            </w:r>
          </w:p>
        </w:tc>
        <w:tc>
          <w:tcPr>
            <w:tcW w:type="dxa" w:w="4320"/>
          </w:tcPr>
          <w:p>
            <w:r>
              <w:rPr>
                <w:sz w:val="18"/>
              </w:rPr>
              <w:t>Document A + Document C; no Document B</w:t>
            </w:r>
          </w:p>
        </w:tc>
      </w:tr>
      <w:tr>
        <w:tc>
          <w:tcPr>
            <w:tcW w:type="dxa" w:w="4320"/>
          </w:tcPr>
          <w:p>
            <w:r>
              <w:rPr>
                <w:sz w:val="18"/>
              </w:rPr>
              <w:t>High risk, but subsequent measures removed it — Art 34(3)(b)</w:t>
            </w:r>
          </w:p>
        </w:tc>
        <w:tc>
          <w:tcPr>
            <w:tcW w:type="dxa" w:w="4320"/>
          </w:tcPr>
          <w:p>
            <w:r>
              <w:rPr>
                <w:sz w:val="18"/>
              </w:rPr>
              <w:t>Document A + Document C; no Document B</w:t>
            </w:r>
          </w:p>
        </w:tc>
      </w:tr>
      <w:tr>
        <w:tc>
          <w:tcPr>
            <w:tcW w:type="dxa" w:w="4320"/>
          </w:tcPr>
          <w:p>
            <w:r>
              <w:rPr>
                <w:sz w:val="18"/>
              </w:rPr>
              <w:t>Individual letters = disproportionate effort — Art 34(3)(c)</w:t>
            </w:r>
          </w:p>
        </w:tc>
        <w:tc>
          <w:tcPr>
            <w:tcW w:type="dxa" w:w="4320"/>
          </w:tcPr>
          <w:p>
            <w:r>
              <w:rPr>
                <w:sz w:val="18"/>
              </w:rPr>
              <w:t>Document A + public communication + Document C</w:t>
            </w:r>
          </w:p>
        </w:tc>
      </w:tr>
    </w:tbl>
    <w:p/>
    <w:p>
      <w:r>
        <w:rPr>
          <w:i/>
          <w:color w:val="5A6A72"/>
          <w:sz w:val="18"/>
        </w:rPr>
        <w:t>Remember: the supervisory authority can order communication to data subjects under Art 34(4) even where you concluded it was not required. Fines for Art 33/34 infringements: up to EUR 10 million or 2% of total worldwide annual turnover (Art 83(4)(a)).</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A6A72"/>
        <w:sz w:val="15"/>
      </w:rPr>
      <w:t>Orbiq · GDPR Breach Notification Letter Pack v1.0 · 2026-07-15 · orbiqhq.com/templates/gdpr-breach-notification-letter-pack · CC BY 4.0 · Not legal advice</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Helvetica Neue" w:hAnsi="Helvetica Neue"/>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Helvetica Neue" w:hAnsi="Helvetica Neue"/>
      <w:b/>
      <w:bCs/>
      <w:color w:val="0A2733"/>
      <w:sz w:val="4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Helvetica Neue" w:hAnsi="Helvetica Neue"/>
      <w:b/>
      <w:bCs/>
      <w:color w:val="0A2733"/>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Helvetica Neue" w:hAnsi="Helvetica Neue"/>
      <w:b/>
      <w:bCs/>
      <w:color w:val="0A2733"/>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