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A2733"/>
          <w:sz w:val="34"/>
        </w:rPr>
        <w:t>NIS2 Incident Report Templates — Article 23 Pack</w:t>
      </w:r>
    </w:p>
    <w:p>
      <w:r>
        <w:rPr>
          <w:i w:val="0"/>
        </w:rPr>
        <w:t>Ready-to-file forms for all stages of NIS2 significant-incident reporting under Directive (EU) 2022/2555, Article 23(4): the 24-hour early warning, the 72-hour incident notification, the intermediate/progress report, and the one-month final report. Content fields follow Article 23(4)(a)–(e), with the additional data points Commission Implementing Regulation (EU) 2024/2690 expects from digital-infrastructure and ICT-service entities.</w:t>
      </w:r>
    </w:p>
    <w:p>
      <w:r>
        <w:rPr>
          <w:i/>
        </w:rPr>
        <w:t>How to use this pack: complete Form 0 (incident register entry) once, then Forms 1–4 as the deadlines fall due. Submit through your national channel (e.g. Germany: the BSI reporting portal; Norway: NSM/sector authority; check your CSIRT's portal) — these forms structure the content so submission is transcription, not drafting.</w:t>
      </w:r>
    </w:p>
    <w:p>
      <w:r>
        <w:rPr>
          <w:i w:val="0"/>
          <w:color w:val="6B7C85"/>
          <w:sz w:val="18"/>
        </w:rPr>
        <w:t>Version 1.0 — published 2026-07-14. Free at orbiqhq.com/templates/nis2-incident-reporting-pack. Not legal advice; national transposition laws may add fields or shorter sector deadlines.</w:t>
      </w:r>
    </w:p>
    <w:p>
      <w:r>
        <w:br w:type="page"/>
      </w:r>
    </w:p>
    <w:p>
      <w:r>
        <w:rPr>
          <w:b/>
          <w:color w:val="0A2733"/>
          <w:sz w:val="34"/>
        </w:rPr>
        <w:t>Form 0 — Incident Register Entry (internal)</w:t>
      </w:r>
    </w:p>
    <w:p>
      <w:r>
        <w:rPr>
          <w:i w:val="0"/>
        </w:rPr>
        <w:t>Complete once at detection; keep current. This is your internal single source of truth that feeds every report stage.</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Internal incident ID</w:t>
            </w:r>
          </w:p>
        </w:tc>
        <w:tc>
          <w:tcPr>
            <w:tcW w:type="dxa" w:w="5953"/>
          </w:tcPr>
          <w:p>
            <w:r>
              <w:rPr>
                <w:i/>
                <w:color w:val="6B7C85"/>
                <w:sz w:val="18"/>
              </w:rPr>
              <w:t>e.g. INC-2026-041</w:t>
            </w:r>
          </w:p>
        </w:tc>
      </w:tr>
      <w:tr>
        <w:tc>
          <w:tcPr>
            <w:tcW w:type="dxa" w:w="3685"/>
          </w:tcPr>
          <w:p>
            <w:r>
              <w:rPr>
                <w:b/>
                <w:color w:val="0A2733"/>
                <w:sz w:val="19"/>
              </w:rPr>
              <w:t>Entity name and registration</w:t>
            </w:r>
          </w:p>
        </w:tc>
        <w:tc>
          <w:tcPr>
            <w:tcW w:type="dxa" w:w="5953"/>
          </w:tcPr>
          <w:p>
            <w:r>
              <w:rPr>
                <w:i/>
                <w:color w:val="6B7C85"/>
                <w:sz w:val="18"/>
              </w:rPr>
              <w:t>legal entity as registered with the competent authority</w:t>
            </w:r>
          </w:p>
        </w:tc>
      </w:tr>
      <w:tr>
        <w:tc>
          <w:tcPr>
            <w:tcW w:type="dxa" w:w="3685"/>
          </w:tcPr>
          <w:p>
            <w:r>
              <w:rPr>
                <w:b/>
                <w:color w:val="0A2733"/>
                <w:sz w:val="19"/>
              </w:rPr>
              <w:t>Entity classification</w:t>
            </w:r>
          </w:p>
        </w:tc>
        <w:tc>
          <w:tcPr>
            <w:tcW w:type="dxa" w:w="5953"/>
          </w:tcPr>
          <w:p>
            <w:r>
              <w:rPr>
                <w:i/>
                <w:color w:val="6B7C85"/>
                <w:sz w:val="18"/>
              </w:rPr>
              <w:t>essential entity / important entity; sector and subsector (Annex I/II)</w:t>
            </w:r>
          </w:p>
        </w:tc>
      </w:tr>
      <w:tr>
        <w:tc>
          <w:tcPr>
            <w:tcW w:type="dxa" w:w="3685"/>
          </w:tcPr>
          <w:p>
            <w:r>
              <w:rPr>
                <w:b/>
                <w:color w:val="0A2733"/>
                <w:sz w:val="19"/>
              </w:rPr>
              <w:t>Incident commander</w:t>
            </w:r>
          </w:p>
        </w:tc>
        <w:tc>
          <w:tcPr>
            <w:tcW w:type="dxa" w:w="5953"/>
          </w:tcPr>
          <w:p>
            <w:r>
              <w:rPr>
                <w:i/>
                <w:color w:val="6B7C85"/>
                <w:sz w:val="18"/>
              </w:rPr>
              <w:t>name, role, phone, email</w:t>
            </w:r>
          </w:p>
        </w:tc>
      </w:tr>
      <w:tr>
        <w:tc>
          <w:tcPr>
            <w:tcW w:type="dxa" w:w="3685"/>
          </w:tcPr>
          <w:p>
            <w:r>
              <w:rPr>
                <w:b/>
                <w:color w:val="0A2733"/>
                <w:sz w:val="19"/>
              </w:rPr>
              <w:t>Reporting officer</w:t>
            </w:r>
          </w:p>
        </w:tc>
        <w:tc>
          <w:tcPr>
            <w:tcW w:type="dxa" w:w="5953"/>
          </w:tcPr>
          <w:p>
            <w:r>
              <w:rPr>
                <w:i/>
                <w:color w:val="6B7C85"/>
                <w:sz w:val="18"/>
              </w:rPr>
              <w:t>person submitting reports to the CSIRT/competent authority</w:t>
            </w:r>
          </w:p>
        </w:tc>
      </w:tr>
      <w:tr>
        <w:tc>
          <w:tcPr>
            <w:tcW w:type="dxa" w:w="3685"/>
          </w:tcPr>
          <w:p>
            <w:r>
              <w:rPr>
                <w:b/>
                <w:color w:val="0A2733"/>
                <w:sz w:val="19"/>
              </w:rPr>
              <w:t>Detection date and time (with timezone)</w:t>
            </w:r>
          </w:p>
        </w:tc>
        <w:tc>
          <w:tcPr>
            <w:tcW w:type="dxa" w:w="5953"/>
          </w:tcPr>
          <w:p>
            <w:r>
              <w:rPr>
                <w:i/>
                <w:color w:val="6B7C85"/>
                <w:sz w:val="18"/>
              </w:rPr>
              <w:t>when the entity became AWARE — this starts the 24-hour clock</w:t>
            </w:r>
          </w:p>
        </w:tc>
      </w:tr>
      <w:tr>
        <w:tc>
          <w:tcPr>
            <w:tcW w:type="dxa" w:w="3685"/>
          </w:tcPr>
          <w:p>
            <w:r>
              <w:rPr>
                <w:b/>
                <w:color w:val="0A2733"/>
                <w:sz w:val="19"/>
              </w:rPr>
              <w:t>Detection source</w:t>
            </w:r>
          </w:p>
        </w:tc>
        <w:tc>
          <w:tcPr>
            <w:tcW w:type="dxa" w:w="5953"/>
          </w:tcPr>
          <w:p>
            <w:r>
              <w:rPr>
                <w:i/>
                <w:color w:val="6B7C85"/>
                <w:sz w:val="18"/>
              </w:rPr>
              <w:t>monitoring alert / employee report / customer report / third party / authority</w:t>
            </w:r>
          </w:p>
        </w:tc>
      </w:tr>
      <w:tr>
        <w:tc>
          <w:tcPr>
            <w:tcW w:type="dxa" w:w="3685"/>
          </w:tcPr>
          <w:p>
            <w:r>
              <w:rPr>
                <w:b/>
                <w:color w:val="0A2733"/>
                <w:sz w:val="19"/>
              </w:rPr>
              <w:t>Affected services and systems</w:t>
            </w:r>
          </w:p>
        </w:tc>
        <w:tc>
          <w:tcPr>
            <w:tcW w:type="dxa" w:w="5953"/>
          </w:tcPr>
          <w:p>
            <w:r>
              <w:rPr>
                <w:i/>
                <w:color w:val="6B7C85"/>
                <w:sz w:val="18"/>
              </w:rPr>
              <w:t>service names, environments, regions</w:t>
            </w:r>
          </w:p>
        </w:tc>
      </w:tr>
      <w:tr>
        <w:tc>
          <w:tcPr>
            <w:tcW w:type="dxa" w:w="3685"/>
          </w:tcPr>
          <w:p>
            <w:r>
              <w:rPr>
                <w:b/>
                <w:color w:val="0A2733"/>
                <w:sz w:val="19"/>
              </w:rPr>
              <w:t>Significance assessment</w:t>
            </w:r>
          </w:p>
        </w:tc>
        <w:tc>
          <w:tcPr>
            <w:tcW w:type="dxa" w:w="5953"/>
          </w:tcPr>
          <w:p>
            <w:r>
              <w:rPr>
                <w:i/>
                <w:color w:val="6B7C85"/>
                <w:sz w:val="18"/>
              </w:rPr>
              <w:t>which Art 23(3) limb (severe operational disruption or financial loss / considerable damage to others) or CIR 2024/2690 criterion is met, and why</w:t>
            </w:r>
          </w:p>
        </w:tc>
      </w:tr>
      <w:tr>
        <w:tc>
          <w:tcPr>
            <w:tcW w:type="dxa" w:w="3685"/>
          </w:tcPr>
          <w:p>
            <w:r>
              <w:rPr>
                <w:b/>
                <w:color w:val="0A2733"/>
                <w:sz w:val="19"/>
              </w:rPr>
              <w:t>Cross-border relevance</w:t>
            </w:r>
          </w:p>
        </w:tc>
        <w:tc>
          <w:tcPr>
            <w:tcW w:type="dxa" w:w="5953"/>
          </w:tcPr>
          <w:p>
            <w:r>
              <w:rPr>
                <w:i/>
                <w:color w:val="6B7C85"/>
                <w:sz w:val="18"/>
              </w:rPr>
              <w:t>Member States or entities in other Member States affected or potentially affected</w:t>
            </w:r>
          </w:p>
        </w:tc>
      </w:tr>
      <w:tr>
        <w:tc>
          <w:tcPr>
            <w:tcW w:type="dxa" w:w="3685"/>
          </w:tcPr>
          <w:p>
            <w:r>
              <w:rPr>
                <w:b/>
                <w:color w:val="0A2733"/>
                <w:sz w:val="19"/>
              </w:rPr>
              <w:t>Report log</w:t>
            </w:r>
          </w:p>
        </w:tc>
        <w:tc>
          <w:tcPr>
            <w:tcW w:type="dxa" w:w="5953"/>
          </w:tcPr>
          <w:p>
            <w:r>
              <w:rPr>
                <w:i/>
                <w:color w:val="6B7C85"/>
                <w:sz w:val="18"/>
              </w:rPr>
              <w:t>stage / submitted at / channel / reference number returned by authority</w:t>
            </w:r>
          </w:p>
        </w:tc>
      </w:tr>
    </w:tbl>
    <w:p>
      <w:r>
        <w:br w:type="page"/>
      </w:r>
    </w:p>
    <w:p>
      <w:r>
        <w:rPr>
          <w:b/>
          <w:color w:val="0A2733"/>
          <w:sz w:val="34"/>
        </w:rPr>
        <w:t>Form 1 — Early Warning (within 24 hours)</w:t>
      </w:r>
    </w:p>
    <w:p>
      <w:r>
        <w:rPr>
          <w:i w:val="0"/>
        </w:rPr>
        <w:t>Article 23(4)(a): submit without undue delay and in any event within 24 hours of becoming aware of the significant incident. The early warning is deliberately light — do not wait for analysis to complete it.</w:t>
      </w:r>
    </w:p>
    <w:p>
      <w:r>
        <w:rPr>
          <w:b/>
          <w:color w:val="0A2733"/>
          <w:sz w:val="26"/>
        </w:rPr>
        <w:t>1. Reporting entity</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Entity name / ID with authority</w:t>
            </w:r>
          </w:p>
        </w:tc>
        <w:tc>
          <w:tcPr>
            <w:tcW w:type="dxa" w:w="5953"/>
          </w:tcPr>
          <w:p>
            <w:r>
              <w:rPr>
                <w:i/>
                <w:color w:val="6B7C85"/>
                <w:sz w:val="18"/>
              </w:rPr>
            </w:r>
          </w:p>
        </w:tc>
      </w:tr>
      <w:tr>
        <w:tc>
          <w:tcPr>
            <w:tcW w:type="dxa" w:w="3685"/>
          </w:tcPr>
          <w:p>
            <w:r>
              <w:rPr>
                <w:b/>
                <w:color w:val="0A2733"/>
                <w:sz w:val="19"/>
              </w:rPr>
              <w:t>Contact person for this incident</w:t>
            </w:r>
          </w:p>
        </w:tc>
        <w:tc>
          <w:tcPr>
            <w:tcW w:type="dxa" w:w="5953"/>
          </w:tcPr>
          <w:p>
            <w:r>
              <w:rPr>
                <w:i/>
                <w:color w:val="6B7C85"/>
                <w:sz w:val="18"/>
              </w:rPr>
              <w:t>name, phone, email — reachable 24/7</w:t>
            </w:r>
          </w:p>
        </w:tc>
      </w:tr>
    </w:tbl>
    <w:p>
      <w:r>
        <w:rPr>
          <w:b/>
          <w:color w:val="0A2733"/>
          <w:sz w:val="26"/>
        </w:rPr>
        <w:t>2. Incident summary</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Internal incident ID</w:t>
            </w:r>
          </w:p>
        </w:tc>
        <w:tc>
          <w:tcPr>
            <w:tcW w:type="dxa" w:w="5953"/>
          </w:tcPr>
          <w:p>
            <w:r>
              <w:rPr>
                <w:i/>
                <w:color w:val="6B7C85"/>
                <w:sz w:val="18"/>
              </w:rPr>
            </w:r>
          </w:p>
        </w:tc>
      </w:tr>
      <w:tr>
        <w:tc>
          <w:tcPr>
            <w:tcW w:type="dxa" w:w="3685"/>
          </w:tcPr>
          <w:p>
            <w:r>
              <w:rPr>
                <w:b/>
                <w:color w:val="0A2733"/>
                <w:sz w:val="19"/>
              </w:rPr>
              <w:t>Date/time of awareness</w:t>
            </w:r>
          </w:p>
        </w:tc>
        <w:tc>
          <w:tcPr>
            <w:tcW w:type="dxa" w:w="5953"/>
          </w:tcPr>
          <w:p>
            <w:r>
              <w:rPr>
                <w:i/>
                <w:color w:val="6B7C85"/>
                <w:sz w:val="18"/>
              </w:rPr>
              <w:t>timezone explicit</w:t>
            </w:r>
          </w:p>
        </w:tc>
      </w:tr>
      <w:tr>
        <w:tc>
          <w:tcPr>
            <w:tcW w:type="dxa" w:w="3685"/>
          </w:tcPr>
          <w:p>
            <w:r>
              <w:rPr>
                <w:b/>
                <w:color w:val="0A2733"/>
                <w:sz w:val="19"/>
              </w:rPr>
              <w:t>Brief description</w:t>
            </w:r>
          </w:p>
        </w:tc>
        <w:tc>
          <w:tcPr>
            <w:tcW w:type="dxa" w:w="5953"/>
          </w:tcPr>
          <w:p>
            <w:r>
              <w:rPr>
                <w:i/>
                <w:color w:val="6B7C85"/>
                <w:sz w:val="18"/>
              </w:rPr>
              <w:t>2–4 sentences: what is affected, current status</w:t>
            </w:r>
          </w:p>
        </w:tc>
      </w:tr>
      <w:tr>
        <w:tc>
          <w:tcPr>
            <w:tcW w:type="dxa" w:w="3685"/>
          </w:tcPr>
          <w:p>
            <w:r>
              <w:rPr>
                <w:b/>
                <w:color w:val="0A2733"/>
                <w:sz w:val="19"/>
              </w:rPr>
              <w:t>Affected services</w:t>
            </w:r>
          </w:p>
        </w:tc>
        <w:tc>
          <w:tcPr>
            <w:tcW w:type="dxa" w:w="5953"/>
          </w:tcPr>
          <w:p>
            <w:r>
              <w:rPr>
                <w:i/>
                <w:color w:val="6B7C85"/>
                <w:sz w:val="18"/>
              </w:rPr>
            </w:r>
          </w:p>
        </w:tc>
      </w:tr>
    </w:tbl>
    <w:p>
      <w:r>
        <w:rPr>
          <w:b/>
          <w:color w:val="0A2733"/>
          <w:sz w:val="26"/>
        </w:rPr>
        <w:t>3. Mandatory early-warning indications — Art 23(4)(a)</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Suspected unlawful or malicious cause?</w:t>
            </w:r>
          </w:p>
        </w:tc>
        <w:tc>
          <w:tcPr>
            <w:tcW w:type="dxa" w:w="5953"/>
          </w:tcPr>
          <w:p>
            <w:r>
              <w:rPr>
                <w:i/>
                <w:color w:val="6B7C85"/>
                <w:sz w:val="18"/>
              </w:rPr>
              <w:t>yes / no / unknown — with one-line reasoning</w:t>
            </w:r>
          </w:p>
        </w:tc>
      </w:tr>
      <w:tr>
        <w:tc>
          <w:tcPr>
            <w:tcW w:type="dxa" w:w="3685"/>
          </w:tcPr>
          <w:p>
            <w:r>
              <w:rPr>
                <w:b/>
                <w:color w:val="0A2733"/>
                <w:sz w:val="19"/>
              </w:rPr>
              <w:t>Could the incident have cross-border impact?</w:t>
            </w:r>
          </w:p>
        </w:tc>
        <w:tc>
          <w:tcPr>
            <w:tcW w:type="dxa" w:w="5953"/>
          </w:tcPr>
          <w:p>
            <w:r>
              <w:rPr>
                <w:i/>
                <w:color w:val="6B7C85"/>
                <w:sz w:val="18"/>
              </w:rPr>
              <w:t>yes / no / unknown — name potentially affected Member States if known</w:t>
            </w:r>
          </w:p>
        </w:tc>
      </w:tr>
    </w:tbl>
    <w:p>
      <w:r>
        <w:rPr>
          <w:b/>
          <w:color w:val="0A2733"/>
          <w:sz w:val="26"/>
        </w:rPr>
        <w:t>4. Optional at this stage</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Assistance requested?</w:t>
            </w:r>
          </w:p>
        </w:tc>
        <w:tc>
          <w:tcPr>
            <w:tcW w:type="dxa" w:w="5953"/>
          </w:tcPr>
          <w:p>
            <w:r>
              <w:rPr>
                <w:i/>
                <w:color w:val="6B7C85"/>
                <w:sz w:val="18"/>
              </w:rPr>
              <w:t>entities may request CSIRT support or guidance</w:t>
            </w:r>
          </w:p>
        </w:tc>
      </w:tr>
      <w:tr>
        <w:tc>
          <w:tcPr>
            <w:tcW w:type="dxa" w:w="3685"/>
          </w:tcPr>
          <w:p>
            <w:r>
              <w:rPr>
                <w:b/>
                <w:color w:val="0A2733"/>
                <w:sz w:val="19"/>
              </w:rPr>
              <w:t>Ongoing / contained?</w:t>
            </w:r>
          </w:p>
        </w:tc>
        <w:tc>
          <w:tcPr>
            <w:tcW w:type="dxa" w:w="5953"/>
          </w:tcPr>
          <w:p>
            <w:r>
              <w:rPr>
                <w:i/>
                <w:color w:val="6B7C85"/>
                <w:sz w:val="18"/>
              </w:rPr>
            </w:r>
          </w:p>
        </w:tc>
      </w:tr>
    </w:tbl>
    <w:p>
      <w:r>
        <w:br w:type="page"/>
      </w:r>
    </w:p>
    <w:p>
      <w:r>
        <w:rPr>
          <w:b/>
          <w:color w:val="0A2733"/>
          <w:sz w:val="34"/>
        </w:rPr>
        <w:t>Form 2 — Incident Notification (within 72 hours)</w:t>
      </w:r>
    </w:p>
    <w:p>
      <w:r>
        <w:rPr>
          <w:i w:val="0"/>
        </w:rPr>
        <w:t>Article 23(4)(b): submit without undue delay and in any event within 72 hours of becoming aware. This updates the early warning and adds an initial assessment. For trust service providers, national law may require this notification within 24 hours.</w:t>
      </w:r>
    </w:p>
    <w:p>
      <w:r>
        <w:rPr>
          <w:b/>
          <w:color w:val="0A2733"/>
          <w:sz w:val="26"/>
        </w:rPr>
        <w:t>1. Reference</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Internal incident ID / early-warning reference</w:t>
            </w:r>
          </w:p>
        </w:tc>
        <w:tc>
          <w:tcPr>
            <w:tcW w:type="dxa" w:w="5953"/>
          </w:tcPr>
          <w:p>
            <w:r>
              <w:rPr>
                <w:i/>
                <w:color w:val="6B7C85"/>
                <w:sz w:val="18"/>
              </w:rPr>
              <w:t>authority reference number from Form 1</w:t>
            </w:r>
          </w:p>
        </w:tc>
      </w:tr>
      <w:tr>
        <w:tc>
          <w:tcPr>
            <w:tcW w:type="dxa" w:w="3685"/>
          </w:tcPr>
          <w:p>
            <w:r>
              <w:rPr>
                <w:b/>
                <w:color w:val="0A2733"/>
                <w:sz w:val="19"/>
              </w:rPr>
              <w:t>Changes since early warning</w:t>
            </w:r>
          </w:p>
        </w:tc>
        <w:tc>
          <w:tcPr>
            <w:tcW w:type="dxa" w:w="5953"/>
          </w:tcPr>
          <w:p>
            <w:r>
              <w:rPr>
                <w:i/>
                <w:color w:val="6B7C85"/>
                <w:sz w:val="18"/>
              </w:rPr>
              <w:t>summary of what is new or corrected</w:t>
            </w:r>
          </w:p>
        </w:tc>
      </w:tr>
    </w:tbl>
    <w:p>
      <w:r>
        <w:rPr>
          <w:b/>
          <w:color w:val="0A2733"/>
          <w:sz w:val="26"/>
        </w:rPr>
        <w:t>2. Initial assessment — Art 23(4)(b)</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Severity assessment</w:t>
            </w:r>
          </w:p>
        </w:tc>
        <w:tc>
          <w:tcPr>
            <w:tcW w:type="dxa" w:w="5953"/>
          </w:tcPr>
          <w:p>
            <w:r>
              <w:rPr>
                <w:i/>
                <w:color w:val="6B7C85"/>
                <w:sz w:val="18"/>
              </w:rPr>
              <w:t>scope of disruption, users/recipients affected, duration so far</w:t>
            </w:r>
          </w:p>
        </w:tc>
      </w:tr>
      <w:tr>
        <w:tc>
          <w:tcPr>
            <w:tcW w:type="dxa" w:w="3685"/>
          </w:tcPr>
          <w:p>
            <w:r>
              <w:rPr>
                <w:b/>
                <w:color w:val="0A2733"/>
                <w:sz w:val="19"/>
              </w:rPr>
              <w:t>Impact assessment</w:t>
            </w:r>
          </w:p>
        </w:tc>
        <w:tc>
          <w:tcPr>
            <w:tcW w:type="dxa" w:w="5953"/>
          </w:tcPr>
          <w:p>
            <w:r>
              <w:rPr>
                <w:i/>
                <w:color w:val="6B7C85"/>
                <w:sz w:val="18"/>
              </w:rPr>
              <w:t>operational, financial (estimate), data confidentiality/integrity/availability effects</w:t>
            </w:r>
          </w:p>
        </w:tc>
      </w:tr>
      <w:tr>
        <w:tc>
          <w:tcPr>
            <w:tcW w:type="dxa" w:w="3685"/>
          </w:tcPr>
          <w:p>
            <w:r>
              <w:rPr>
                <w:b/>
                <w:color w:val="0A2733"/>
                <w:sz w:val="19"/>
              </w:rPr>
              <w:t>Indicators of compromise (where available)</w:t>
            </w:r>
          </w:p>
        </w:tc>
        <w:tc>
          <w:tcPr>
            <w:tcW w:type="dxa" w:w="5953"/>
          </w:tcPr>
          <w:p>
            <w:r>
              <w:rPr>
                <w:i/>
                <w:color w:val="6B7C85"/>
                <w:sz w:val="18"/>
              </w:rPr>
              <w:t>IoCs: hashes, IPs, domains, TTPs — attach structured file if long</w:t>
            </w:r>
          </w:p>
        </w:tc>
      </w:tr>
      <w:tr>
        <w:tc>
          <w:tcPr>
            <w:tcW w:type="dxa" w:w="3685"/>
          </w:tcPr>
          <w:p>
            <w:r>
              <w:rPr>
                <w:b/>
                <w:color w:val="0A2733"/>
                <w:sz w:val="19"/>
              </w:rPr>
              <w:t>Significance criteria met</w:t>
            </w:r>
          </w:p>
        </w:tc>
        <w:tc>
          <w:tcPr>
            <w:tcW w:type="dxa" w:w="5953"/>
          </w:tcPr>
          <w:p>
            <w:r>
              <w:rPr>
                <w:i/>
                <w:color w:val="6B7C85"/>
                <w:sz w:val="18"/>
              </w:rPr>
              <w:t>Art 23(3) limbs and, where applicable, the CIR (EU) 2024/2690 criterion (e.g. direct financial loss above EUR 500,000 or 5% of annual turnover, whichever is lower)</w:t>
            </w:r>
          </w:p>
        </w:tc>
      </w:tr>
    </w:tbl>
    <w:p>
      <w:r>
        <w:rPr>
          <w:b/>
          <w:color w:val="0A2733"/>
          <w:sz w:val="26"/>
        </w:rPr>
        <w:t>3. Response status</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Containment / mitigation measures taken</w:t>
            </w:r>
          </w:p>
        </w:tc>
        <w:tc>
          <w:tcPr>
            <w:tcW w:type="dxa" w:w="5953"/>
          </w:tcPr>
          <w:p>
            <w:r>
              <w:rPr>
                <w:i/>
                <w:color w:val="6B7C85"/>
                <w:sz w:val="18"/>
              </w:rPr>
            </w:r>
          </w:p>
        </w:tc>
      </w:tr>
      <w:tr>
        <w:tc>
          <w:tcPr>
            <w:tcW w:type="dxa" w:w="3685"/>
          </w:tcPr>
          <w:p>
            <w:r>
              <w:rPr>
                <w:b/>
                <w:color w:val="0A2733"/>
                <w:sz w:val="19"/>
              </w:rPr>
              <w:t>Cross-border update</w:t>
            </w:r>
          </w:p>
        </w:tc>
        <w:tc>
          <w:tcPr>
            <w:tcW w:type="dxa" w:w="5953"/>
          </w:tcPr>
          <w:p>
            <w:r>
              <w:rPr>
                <w:i/>
                <w:color w:val="6B7C85"/>
                <w:sz w:val="18"/>
              </w:rPr>
              <w:t>affected Member States / notified parties</w:t>
            </w:r>
          </w:p>
        </w:tc>
      </w:tr>
      <w:tr>
        <w:tc>
          <w:tcPr>
            <w:tcW w:type="dxa" w:w="3685"/>
          </w:tcPr>
          <w:p>
            <w:r>
              <w:rPr>
                <w:b/>
                <w:color w:val="0A2733"/>
                <w:sz w:val="19"/>
              </w:rPr>
              <w:t>Service-recipient communication</w:t>
            </w:r>
          </w:p>
        </w:tc>
        <w:tc>
          <w:tcPr>
            <w:tcW w:type="dxa" w:w="5953"/>
          </w:tcPr>
          <w:p>
            <w:r>
              <w:rPr>
                <w:i/>
                <w:color w:val="6B7C85"/>
                <w:sz w:val="18"/>
              </w:rPr>
              <w:t>whether recipients have been informed of the incident or of measures they can take (Art 23(1)–(2)); note any authority order to inform the public</w:t>
            </w:r>
          </w:p>
        </w:tc>
      </w:tr>
    </w:tbl>
    <w:p>
      <w:r>
        <w:br w:type="page"/>
      </w:r>
    </w:p>
    <w:p>
      <w:r>
        <w:rPr>
          <w:b/>
          <w:color w:val="0A2733"/>
          <w:sz w:val="34"/>
        </w:rPr>
        <w:t>Form 3 — Intermediate / Progress Report (on request, or at one month if ongoing)</w:t>
      </w:r>
    </w:p>
    <w:p>
      <w:r>
        <w:rPr>
          <w:i w:val="0"/>
        </w:rPr>
        <w:t>Article 23(4)(c): a CSIRT or competent authority may request an intermediate report of relevant status updates. Article 23(4)(e): if the incident is still ongoing when the final report falls due, submit a progress report instead, and the final report within one month of handling the incident's conclusion.</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Reference</w:t>
            </w:r>
          </w:p>
        </w:tc>
        <w:tc>
          <w:tcPr>
            <w:tcW w:type="dxa" w:w="5953"/>
          </w:tcPr>
          <w:p>
            <w:r>
              <w:rPr>
                <w:i/>
                <w:color w:val="6B7C85"/>
                <w:sz w:val="18"/>
              </w:rPr>
              <w:t>incident ID + prior report references</w:t>
            </w:r>
          </w:p>
        </w:tc>
      </w:tr>
      <w:tr>
        <w:tc>
          <w:tcPr>
            <w:tcW w:type="dxa" w:w="3685"/>
          </w:tcPr>
          <w:p>
            <w:r>
              <w:rPr>
                <w:b/>
                <w:color w:val="0A2733"/>
                <w:sz w:val="19"/>
              </w:rPr>
              <w:t>Requested by / trigger</w:t>
            </w:r>
          </w:p>
        </w:tc>
        <w:tc>
          <w:tcPr>
            <w:tcW w:type="dxa" w:w="5953"/>
          </w:tcPr>
          <w:p>
            <w:r>
              <w:rPr>
                <w:i/>
                <w:color w:val="6B7C85"/>
                <w:sz w:val="18"/>
              </w:rPr>
              <w:t>authority request, or one-month mark with incident ongoing</w:t>
            </w:r>
          </w:p>
        </w:tc>
      </w:tr>
      <w:tr>
        <w:tc>
          <w:tcPr>
            <w:tcW w:type="dxa" w:w="3685"/>
          </w:tcPr>
          <w:p>
            <w:r>
              <w:rPr>
                <w:b/>
                <w:color w:val="0A2733"/>
                <w:sz w:val="19"/>
              </w:rPr>
              <w:t>Status update</w:t>
            </w:r>
          </w:p>
        </w:tc>
        <w:tc>
          <w:tcPr>
            <w:tcW w:type="dxa" w:w="5953"/>
          </w:tcPr>
          <w:p>
            <w:r>
              <w:rPr>
                <w:i/>
                <w:color w:val="6B7C85"/>
                <w:sz w:val="18"/>
              </w:rPr>
              <w:t>current operational state; services restored / degraded / down</w:t>
            </w:r>
          </w:p>
        </w:tc>
      </w:tr>
      <w:tr>
        <w:tc>
          <w:tcPr>
            <w:tcW w:type="dxa" w:w="3685"/>
          </w:tcPr>
          <w:p>
            <w:r>
              <w:rPr>
                <w:b/>
                <w:color w:val="0A2733"/>
                <w:sz w:val="19"/>
              </w:rPr>
              <w:t>Updated impact figures</w:t>
            </w:r>
          </w:p>
        </w:tc>
        <w:tc>
          <w:tcPr>
            <w:tcW w:type="dxa" w:w="5953"/>
          </w:tcPr>
          <w:p>
            <w:r>
              <w:rPr>
                <w:i/>
                <w:color w:val="6B7C85"/>
                <w:sz w:val="18"/>
              </w:rPr>
              <w:t>users affected, downtime, financial estimate</w:t>
            </w:r>
          </w:p>
        </w:tc>
      </w:tr>
      <w:tr>
        <w:tc>
          <w:tcPr>
            <w:tcW w:type="dxa" w:w="3685"/>
          </w:tcPr>
          <w:p>
            <w:r>
              <w:rPr>
                <w:b/>
                <w:color w:val="0A2733"/>
                <w:sz w:val="19"/>
              </w:rPr>
              <w:t>New findings</w:t>
            </w:r>
          </w:p>
        </w:tc>
        <w:tc>
          <w:tcPr>
            <w:tcW w:type="dxa" w:w="5953"/>
          </w:tcPr>
          <w:p>
            <w:r>
              <w:rPr>
                <w:i/>
                <w:color w:val="6B7C85"/>
                <w:sz w:val="18"/>
              </w:rPr>
              <w:t>root-cause progress, new IoCs, scope changes</w:t>
            </w:r>
          </w:p>
        </w:tc>
      </w:tr>
      <w:tr>
        <w:tc>
          <w:tcPr>
            <w:tcW w:type="dxa" w:w="3685"/>
          </w:tcPr>
          <w:p>
            <w:r>
              <w:rPr>
                <w:b/>
                <w:color w:val="0A2733"/>
                <w:sz w:val="19"/>
              </w:rPr>
              <w:t>Next steps and expected timeline</w:t>
            </w:r>
          </w:p>
        </w:tc>
        <w:tc>
          <w:tcPr>
            <w:tcW w:type="dxa" w:w="5953"/>
          </w:tcPr>
          <w:p>
            <w:r>
              <w:rPr>
                <w:i/>
                <w:color w:val="6B7C85"/>
                <w:sz w:val="18"/>
              </w:rPr>
            </w:r>
          </w:p>
        </w:tc>
      </w:tr>
    </w:tbl>
    <w:p>
      <w:r>
        <w:br w:type="page"/>
      </w:r>
    </w:p>
    <w:p>
      <w:r>
        <w:rPr>
          <w:b/>
          <w:color w:val="0A2733"/>
          <w:sz w:val="34"/>
        </w:rPr>
        <w:t>Form 4 — Final Report (within one month of the 72-hour notification)</w:t>
      </w:r>
    </w:p>
    <w:p>
      <w:r>
        <w:rPr>
          <w:i w:val="0"/>
        </w:rPr>
        <w:t>Article 23(4)(d): submit no later than one month after the Form 2 incident notification. All four content elements below are mandatory.</w:t>
      </w:r>
    </w:p>
    <w:p>
      <w:r>
        <w:rPr>
          <w:b/>
          <w:color w:val="0A2733"/>
          <w:sz w:val="26"/>
        </w:rPr>
        <w:t>1. Detailed description — Art 23(4)(d)(i)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Incident narrative</w:t>
            </w:r>
          </w:p>
        </w:tc>
        <w:tc>
          <w:tcPr>
            <w:tcW w:type="dxa" w:w="5953"/>
          </w:tcPr>
          <w:p>
            <w:r>
              <w:rPr>
                <w:i/>
                <w:color w:val="6B7C85"/>
                <w:sz w:val="18"/>
              </w:rPr>
              <w:t>timeline from initial compromise to resolution</w:t>
            </w:r>
          </w:p>
        </w:tc>
      </w:tr>
      <w:tr>
        <w:tc>
          <w:tcPr>
            <w:tcW w:type="dxa" w:w="3685"/>
          </w:tcPr>
          <w:p>
            <w:r>
              <w:rPr>
                <w:b/>
                <w:color w:val="0A2733"/>
                <w:sz w:val="19"/>
              </w:rPr>
              <w:t>Severity and impact</w:t>
            </w:r>
          </w:p>
        </w:tc>
        <w:tc>
          <w:tcPr>
            <w:tcW w:type="dxa" w:w="5953"/>
          </w:tcPr>
          <w:p>
            <w:r>
              <w:rPr>
                <w:i/>
                <w:color w:val="6B7C85"/>
                <w:sz w:val="18"/>
              </w:rPr>
              <w:t>final figures: duration, users/recipients affected, data affected, financial loss</w:t>
            </w:r>
          </w:p>
        </w:tc>
      </w:tr>
    </w:tbl>
    <w:p>
      <w:r>
        <w:rPr>
          <w:b/>
          <w:color w:val="0A2733"/>
          <w:sz w:val="26"/>
        </w:rPr>
        <w:t>2. Threat and root cause — Art 23(4)(d)(ii)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Type of threat</w:t>
            </w:r>
          </w:p>
        </w:tc>
        <w:tc>
          <w:tcPr>
            <w:tcW w:type="dxa" w:w="5953"/>
          </w:tcPr>
          <w:p>
            <w:r>
              <w:rPr>
                <w:i/>
                <w:color w:val="6B7C85"/>
                <w:sz w:val="18"/>
              </w:rPr>
              <w:t>e.g. ransomware, supply-chain compromise, DDoS, misconfiguration</w:t>
            </w:r>
          </w:p>
        </w:tc>
      </w:tr>
      <w:tr>
        <w:tc>
          <w:tcPr>
            <w:tcW w:type="dxa" w:w="3685"/>
          </w:tcPr>
          <w:p>
            <w:r>
              <w:rPr>
                <w:b/>
                <w:color w:val="0A2733"/>
                <w:sz w:val="19"/>
              </w:rPr>
              <w:t>Root cause</w:t>
            </w:r>
          </w:p>
        </w:tc>
        <w:tc>
          <w:tcPr>
            <w:tcW w:type="dxa" w:w="5953"/>
          </w:tcPr>
          <w:p>
            <w:r>
              <w:rPr>
                <w:i/>
                <w:color w:val="6B7C85"/>
                <w:sz w:val="18"/>
              </w:rPr>
              <w:t>the likely triggering cause, with evidence</w:t>
            </w:r>
          </w:p>
        </w:tc>
      </w:tr>
    </w:tbl>
    <w:p>
      <w:r>
        <w:rPr>
          <w:b/>
          <w:color w:val="0A2733"/>
          <w:sz w:val="26"/>
        </w:rPr>
        <w:t>3. Mitigation — Art 23(4)(d)(iii)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Measures applied</w:t>
            </w:r>
          </w:p>
        </w:tc>
        <w:tc>
          <w:tcPr>
            <w:tcW w:type="dxa" w:w="5953"/>
          </w:tcPr>
          <w:p>
            <w:r>
              <w:rPr>
                <w:i/>
                <w:color w:val="6B7C85"/>
                <w:sz w:val="18"/>
              </w:rPr>
              <w:t>completed remediation</w:t>
            </w:r>
          </w:p>
        </w:tc>
      </w:tr>
      <w:tr>
        <w:tc>
          <w:tcPr>
            <w:tcW w:type="dxa" w:w="3685"/>
          </w:tcPr>
          <w:p>
            <w:r>
              <w:rPr>
                <w:b/>
                <w:color w:val="0A2733"/>
                <w:sz w:val="19"/>
              </w:rPr>
              <w:t>Measures ongoing</w:t>
            </w:r>
          </w:p>
        </w:tc>
        <w:tc>
          <w:tcPr>
            <w:tcW w:type="dxa" w:w="5953"/>
          </w:tcPr>
          <w:p>
            <w:r>
              <w:rPr>
                <w:i/>
                <w:color w:val="6B7C85"/>
                <w:sz w:val="18"/>
              </w:rPr>
              <w:t>with owners and dates</w:t>
            </w:r>
          </w:p>
        </w:tc>
      </w:tr>
    </w:tbl>
    <w:p>
      <w:r>
        <w:rPr>
          <w:b/>
          <w:color w:val="0A2733"/>
          <w:sz w:val="26"/>
        </w:rPr>
        <w:t>4. Cross-border impact — Art 23(4)(d)(iv)</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Cross-border effects, where applicable</w:t>
            </w:r>
          </w:p>
        </w:tc>
        <w:tc>
          <w:tcPr>
            <w:tcW w:type="dxa" w:w="5953"/>
          </w:tcPr>
          <w:p>
            <w:r>
              <w:rPr>
                <w:i/>
                <w:color w:val="6B7C85"/>
                <w:sz w:val="18"/>
              </w:rPr>
              <w:t>Member States and entity categories affected</w:t>
            </w:r>
          </w:p>
        </w:tc>
      </w:tr>
    </w:tbl>
    <w:p>
      <w:r>
        <w:rPr>
          <w:b/>
          <w:color w:val="0A2733"/>
          <w:sz w:val="26"/>
        </w:rPr>
        <w:t>5. Lessons learned (recommended)</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Preventive changes</w:t>
            </w:r>
          </w:p>
        </w:tc>
        <w:tc>
          <w:tcPr>
            <w:tcW w:type="dxa" w:w="5953"/>
          </w:tcPr>
          <w:p>
            <w:r>
              <w:rPr>
                <w:i/>
                <w:color w:val="6B7C85"/>
                <w:sz w:val="18"/>
              </w:rPr>
              <w:t>control changes feeding your Art 21 risk-management measures and ISMS</w:t>
            </w:r>
          </w:p>
        </w:tc>
      </w:tr>
      <w:tr>
        <w:tc>
          <w:tcPr>
            <w:tcW w:type="dxa" w:w="3685"/>
          </w:tcPr>
          <w:p>
            <w:r>
              <w:rPr>
                <w:b/>
                <w:color w:val="0A2733"/>
                <w:sz w:val="19"/>
              </w:rPr>
              <w:t>Detection/reporting process review</w:t>
            </w:r>
          </w:p>
        </w:tc>
        <w:tc>
          <w:tcPr>
            <w:tcW w:type="dxa" w:w="5953"/>
          </w:tcPr>
          <w:p>
            <w:r>
              <w:rPr>
                <w:i/>
                <w:color w:val="6B7C85"/>
                <w:sz w:val="18"/>
              </w:rPr>
              <w:t>did the 24h/72h clocks hold; what to fix</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2B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