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A2733"/>
        </w:rPr>
        <w:t>CRA-sjabloon voor kwetsbaarheidsadviezen</w:t>
      </w:r>
    </w:p>
    <w:p>
      <w:r>
        <w:rPr>
          <w:color w:val="667075"/>
          <w:sz w:val="18"/>
        </w:rPr>
        <w:t>Versie 1.0 · Bijgewerkt 2026-07-03 · Gratis sjabloon van Orbiq · orbiqhq.com/templates/cra-vulnerability-advisory-template</w:t>
      </w:r>
    </w:p>
    <w:tbl>
      <w:tblPr>
        <w:tblW w:type="auto" w:w="0"/>
        <w:tblLook w:firstColumn="1" w:firstRow="1" w:lastColumn="0" w:lastRow="0" w:noHBand="0" w:noVBand="1" w:val="04A0"/>
      </w:tblPr>
      <w:tblGrid>
        <w:gridCol w:w="8640"/>
      </w:tblGrid>
      <w:tr>
        <w:trPr>
          <w:trHeight w:val="85"/>
        </w:trPr>
        <w:tc>
          <w:tcPr>
            <w:tcW w:type="dxa" w:w="8640"/>
            <w:shd w:val="clear" w:fill="7B7D63"/>
          </w:tcPr>
          <w:p>
            <w:r/>
          </w:p>
        </w:tc>
      </w:tr>
    </w:tbl>
    <w:p/>
    <w:p>
      <w:r>
        <w:t>Sjabloon voor openbare beveiligingsadviezen van fabrikanten van producten met digitale elementen op grond van Verordening (EU) 2024/2847 (Cyber Resilience Act), bijlage I, deel II. Publiceer zodra de beveiligingsupdate beschikbaar is. Aparte regelgevende klok: actief misbruikte kwetsbaarheden moeten daarnaast op grond van artikel 14 worden gemeld via het centrale meldplatform van ENISA (vroegtijdige waarschuwing binnen 24 u / melding binnen 72 u / eindrapport binnen 14 dagen); van toepassing vanaf 11 september 2026.</w:t>
      </w:r>
    </w:p>
    <w:p>
      <w:pPr>
        <w:pStyle w:val="Heading2"/>
      </w:pPr>
      <w:r>
        <w:rPr>
          <w:color w:val="0A2733"/>
        </w:rPr>
        <w:t>Kopblok van het advies</w:t>
      </w:r>
    </w:p>
    <w:p>
      <w:r>
        <w:t>Vul elk veld in vóór publicatie. Formaat van het advies-ID: {{org_prefix}}-SA-{{year}}-{{sequence}}.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0A2733"/>
          </w:tcPr>
          <w:p>
            <w:r>
              <w:rPr>
                <w:b/>
                <w:color w:val="FFFFFF"/>
                <w:sz w:val="20"/>
              </w:rPr>
              <w:t>Veld</w:t>
            </w:r>
          </w:p>
        </w:tc>
        <w:tc>
          <w:tcPr>
            <w:tcW w:type="dxa" w:w="2880"/>
            <w:shd w:val="clear" w:fill="0A2733"/>
          </w:tcPr>
          <w:p>
            <w:r>
              <w:rPr>
                <w:b/>
                <w:color w:val="FFFFFF"/>
                <w:sz w:val="20"/>
              </w:rPr>
              <w:t>Waarde</w:t>
            </w:r>
          </w:p>
        </w:tc>
        <w:tc>
          <w:tcPr>
            <w:tcW w:type="dxa" w:w="2880"/>
            <w:shd w:val="clear" w:fill="0A2733"/>
          </w:tcPr>
          <w:p>
            <w:r>
              <w:rPr>
                <w:b/>
                <w:color w:val="FFFFFF"/>
                <w:sz w:val="20"/>
              </w:rPr>
              <w:t>Toelichting</w:t>
            </w:r>
          </w:p>
        </w:tc>
      </w:tr>
      <w:tr>
        <w:tc>
          <w:tcPr>
            <w:tcW w:type="dxa" w:w="2880"/>
          </w:tcPr>
          <w:p>
            <w:r>
              <w:rPr>
                <w:sz w:val="20"/>
              </w:rPr>
              <w:t>Titel van het advies</w:t>
            </w:r>
          </w:p>
        </w:tc>
        <w:tc>
          <w:tcPr>
            <w:tcW w:type="dxa" w:w="2880"/>
          </w:tcPr>
          <w:p>
            <w:r>
              <w:rPr>
                <w:i/>
                <w:sz w:val="20"/>
              </w:rPr>
              <w:t>{{advisory_title}}</w:t>
            </w:r>
          </w:p>
        </w:tc>
        <w:tc>
          <w:tcPr>
            <w:tcW w:type="dxa" w:w="2880"/>
          </w:tcPr>
          <w:p>
            <w:r>
              <w:rPr>
                <w:sz w:val="20"/>
              </w:rPr>
              <w:t>Eén regel: &lt;Product&gt;: &lt;type fout&gt; in &lt;component&gt; (&lt;CVE-ID&gt;)</w:t>
            </w:r>
          </w:p>
        </w:tc>
      </w:tr>
      <w:tr>
        <w:tc>
          <w:tcPr>
            <w:tcW w:type="dxa" w:w="2880"/>
          </w:tcPr>
          <w:p>
            <w:r>
              <w:rPr>
                <w:sz w:val="20"/>
              </w:rPr>
              <w:t>Advies-ID</w:t>
            </w:r>
          </w:p>
        </w:tc>
        <w:tc>
          <w:tcPr>
            <w:tcW w:type="dxa" w:w="2880"/>
          </w:tcPr>
          <w:p>
            <w:r>
              <w:rPr>
                <w:i/>
                <w:sz w:val="20"/>
              </w:rPr>
              <w:t>{{advisory_id}}</w:t>
            </w:r>
          </w:p>
        </w:tc>
        <w:tc>
          <w:tcPr>
            <w:tcW w:type="dxa" w:w="2880"/>
          </w:tcPr>
          <w:p>
            <w:r>
              <w:rPr>
                <w:sz w:val="20"/>
              </w:rPr>
              <w:t>Stabiel, oplopend, nooit hergebruikt</w:t>
            </w:r>
          </w:p>
        </w:tc>
      </w:tr>
      <w:tr>
        <w:tc>
          <w:tcPr>
            <w:tcW w:type="dxa" w:w="2880"/>
          </w:tcPr>
          <w:p>
            <w:r>
              <w:rPr>
                <w:sz w:val="20"/>
              </w:rPr>
              <w:t>CVE-ID</w:t>
            </w:r>
          </w:p>
        </w:tc>
        <w:tc>
          <w:tcPr>
            <w:tcW w:type="dxa" w:w="2880"/>
          </w:tcPr>
          <w:p>
            <w:r>
              <w:rPr>
                <w:i/>
                <w:sz w:val="20"/>
              </w:rPr>
              <w:t>{{cve_id}}</w:t>
            </w:r>
          </w:p>
        </w:tc>
        <w:tc>
          <w:tcPr>
            <w:tcW w:type="dxa" w:w="2880"/>
          </w:tcPr>
          <w:p>
            <w:r>
              <w:rPr>
                <w:sz w:val="20"/>
              </w:rPr>
              <w:t>CVE-JJJJ-NNNNN, of 'pending'</w:t>
            </w:r>
          </w:p>
        </w:tc>
      </w:tr>
      <w:tr>
        <w:tc>
          <w:tcPr>
            <w:tcW w:type="dxa" w:w="2880"/>
          </w:tcPr>
          <w:p>
            <w:r>
              <w:rPr>
                <w:sz w:val="20"/>
              </w:rPr>
              <w:t>EUVD-ID</w:t>
            </w:r>
          </w:p>
        </w:tc>
        <w:tc>
          <w:tcPr>
            <w:tcW w:type="dxa" w:w="2880"/>
          </w:tcPr>
          <w:p>
            <w:r>
              <w:rPr>
                <w:i/>
                <w:sz w:val="20"/>
              </w:rPr>
              <w:t>{{euvd_id}}</w:t>
            </w:r>
          </w:p>
        </w:tc>
        <w:tc>
          <w:tcPr>
            <w:tcW w:type="dxa" w:w="2880"/>
          </w:tcPr>
          <w:p>
            <w:r>
              <w:rPr>
                <w:sz w:val="20"/>
              </w:rPr>
              <w:t>EUVD-JJJJ-NNNNN (kwetsbaarhedendatabank van de EU, beheerd door ENISA)</w:t>
            </w:r>
          </w:p>
        </w:tc>
      </w:tr>
      <w:tr>
        <w:tc>
          <w:tcPr>
            <w:tcW w:type="dxa" w:w="2880"/>
          </w:tcPr>
          <w:p>
            <w:r>
              <w:rPr>
                <w:sz w:val="20"/>
              </w:rPr>
              <w:t>Ernst</w:t>
            </w:r>
          </w:p>
        </w:tc>
        <w:tc>
          <w:tcPr>
            <w:tcW w:type="dxa" w:w="2880"/>
          </w:tcPr>
          <w:p>
            <w:r>
              <w:rPr>
                <w:i/>
                <w:sz w:val="20"/>
              </w:rPr>
              <w:t>{{severity}} ({{cvss_base_score}})</w:t>
            </w:r>
          </w:p>
        </w:tc>
        <w:tc>
          <w:tcPr>
            <w:tcW w:type="dxa" w:w="2880"/>
          </w:tcPr>
          <w:p>
            <w:r>
              <w:rPr>
                <w:sz w:val="20"/>
              </w:rPr>
              <w:t>none 0.0 / low 0.1-3.9 / medium 4.0-6.9 / high 7.0-8.9 / critical 9.0-10.0 (CVSS v4.0)</w:t>
            </w:r>
          </w:p>
        </w:tc>
      </w:tr>
      <w:tr>
        <w:tc>
          <w:tcPr>
            <w:tcW w:type="dxa" w:w="2880"/>
          </w:tcPr>
          <w:p>
            <w:r>
              <w:rPr>
                <w:sz w:val="20"/>
              </w:rPr>
              <w:t>CVSS v4.0-vector</w:t>
            </w:r>
          </w:p>
        </w:tc>
        <w:tc>
          <w:tcPr>
            <w:tcW w:type="dxa" w:w="2880"/>
          </w:tcPr>
          <w:p>
            <w:r>
              <w:rPr>
                <w:i/>
                <w:sz w:val="20"/>
              </w:rPr>
              <w:t>{{cvss_vector}}</w:t>
            </w:r>
          </w:p>
        </w:tc>
        <w:tc>
          <w:tcPr>
            <w:tcW w:type="dxa" w:w="2880"/>
          </w:tcPr>
          <w:p>
            <w:r>
              <w:rPr>
                <w:sz w:val="20"/>
              </w:rPr>
              <w:t>De volledige vectorstring, niet alleen de score</w:t>
            </w:r>
          </w:p>
        </w:tc>
      </w:tr>
      <w:tr>
        <w:tc>
          <w:tcPr>
            <w:tcW w:type="dxa" w:w="2880"/>
          </w:tcPr>
          <w:p>
            <w:r>
              <w:rPr>
                <w:sz w:val="20"/>
              </w:rPr>
              <w:t>Misbruikstatus</w:t>
            </w:r>
          </w:p>
        </w:tc>
        <w:tc>
          <w:tcPr>
            <w:tcW w:type="dxa" w:w="2880"/>
          </w:tcPr>
          <w:p>
            <w:r>
              <w:rPr>
                <w:i/>
                <w:sz w:val="20"/>
              </w:rPr>
              <w:t>{{exploitation_status}}</w:t>
            </w:r>
          </w:p>
        </w:tc>
        <w:tc>
          <w:tcPr>
            <w:tcW w:type="dxa" w:w="2880"/>
          </w:tcPr>
          <w:p>
            <w:r>
              <w:rPr>
                <w:sz w:val="20"/>
              </w:rPr>
              <w:t>none-known | poc-published | exploited-in-the-wild (de laatste activeert de meldplicht van CRA-art. 14)</w:t>
            </w:r>
          </w:p>
        </w:tc>
      </w:tr>
      <w:tr>
        <w:tc>
          <w:tcPr>
            <w:tcW w:type="dxa" w:w="2880"/>
          </w:tcPr>
          <w:p>
            <w:r>
              <w:rPr>
                <w:sz w:val="20"/>
              </w:rPr>
              <w:t>Status van het advies</w:t>
            </w:r>
          </w:p>
        </w:tc>
        <w:tc>
          <w:tcPr>
            <w:tcW w:type="dxa" w:w="2880"/>
          </w:tcPr>
          <w:p>
            <w:r>
              <w:rPr>
                <w:i/>
                <w:sz w:val="20"/>
              </w:rPr>
              <w:t>{{advisory_state}}</w:t>
            </w:r>
          </w:p>
        </w:tc>
        <w:tc>
          <w:tcPr>
            <w:tcW w:type="dxa" w:w="2880"/>
          </w:tcPr>
          <w:p>
            <w:r>
              <w:rPr>
                <w:sz w:val="20"/>
              </w:rPr>
              <w:t>draft | embargoed | published | updated | superseded | closed</w:t>
            </w:r>
          </w:p>
        </w:tc>
      </w:tr>
      <w:tr>
        <w:tc>
          <w:tcPr>
            <w:tcW w:type="dxa" w:w="2880"/>
          </w:tcPr>
          <w:p>
            <w:r>
              <w:rPr>
                <w:sz w:val="20"/>
              </w:rPr>
              <w:t>Eerst gepubliceerd (UTC)</w:t>
            </w:r>
          </w:p>
        </w:tc>
        <w:tc>
          <w:tcPr>
            <w:tcW w:type="dxa" w:w="2880"/>
          </w:tcPr>
          <w:p>
            <w:r>
              <w:rPr>
                <w:i/>
                <w:sz w:val="20"/>
              </w:rPr>
              <w:t>{{published_date}}</w:t>
            </w:r>
          </w:p>
        </w:tc>
        <w:tc>
          <w:tcPr>
            <w:tcW w:type="dxa" w:w="2880"/>
          </w:tcPr>
          <w:p>
            <w:r>
              <w:rPr>
                <w:sz w:val="20"/>
              </w:rPr>
              <w:t>ISO-datum</w:t>
            </w:r>
          </w:p>
        </w:tc>
      </w:tr>
      <w:tr>
        <w:tc>
          <w:tcPr>
            <w:tcW w:type="dxa" w:w="2880"/>
          </w:tcPr>
          <w:p>
            <w:r>
              <w:rPr>
                <w:sz w:val="20"/>
              </w:rPr>
              <w:t>Laatst bijgewerkt (UTC)</w:t>
            </w:r>
          </w:p>
        </w:tc>
        <w:tc>
          <w:tcPr>
            <w:tcW w:type="dxa" w:w="2880"/>
          </w:tcPr>
          <w:p>
            <w:r>
              <w:rPr>
                <w:i/>
                <w:sz w:val="20"/>
              </w:rPr>
              <w:t>{{updated_date}}</w:t>
            </w:r>
          </w:p>
        </w:tc>
        <w:tc>
          <w:tcPr>
            <w:tcW w:type="dxa" w:w="2880"/>
          </w:tcPr>
          <w:p>
            <w:r>
              <w:rPr>
                <w:sz w:val="20"/>
              </w:rPr>
              <w:t>ISO-datum</w:t>
            </w:r>
          </w:p>
        </w:tc>
      </w:tr>
      <w:tr>
        <w:tc>
          <w:tcPr>
            <w:tcW w:type="dxa" w:w="2880"/>
          </w:tcPr>
          <w:p>
            <w:r>
              <w:rPr>
                <w:sz w:val="20"/>
              </w:rPr>
              <w:t>Samenvatting</w:t>
            </w:r>
          </w:p>
        </w:tc>
        <w:tc>
          <w:tcPr>
            <w:tcW w:type="dxa" w:w="2880"/>
          </w:tcPr>
          <w:p>
            <w:r>
              <w:rPr>
                <w:i/>
                <w:sz w:val="20"/>
              </w:rPr>
              <w:t>{{summary}}</w:t>
            </w:r>
          </w:p>
        </w:tc>
        <w:tc>
          <w:tcPr>
            <w:tcW w:type="dxa" w:w="2880"/>
          </w:tcPr>
          <w:p>
            <w:r>
              <w:rPr>
                <w:sz w:val="20"/>
              </w:rPr>
              <w:t>2-4 zinnen: de fout, de impact voor de aanvaller en de allerbelangrijkste actie</w:t>
            </w:r>
          </w:p>
        </w:tc>
      </w:tr>
    </w:tbl>
    <w:p/>
    <w:p>
      <w:pPr>
        <w:pStyle w:val="Heading2"/>
      </w:pPr>
      <w:r>
        <w:rPr>
          <w:color w:val="0A2733"/>
        </w:rPr>
        <w:t>Tabel met kwetsbaarheidsdetails</w:t>
      </w:r>
    </w:p>
    <w:p>
      <w:r>
        <w:t>Impact en onderbouwing van misbruik. Bijlage I, deel II, punt 4 vereist een beschrijving van de kwetsbaarheid en informatie waarmee gebruikers het getroffen product kunnen herkennen.</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Veld</w:t>
            </w:r>
          </w:p>
        </w:tc>
        <w:tc>
          <w:tcPr>
            <w:tcW w:type="dxa" w:w="4320"/>
            <w:shd w:val="clear" w:fill="0A2733"/>
          </w:tcPr>
          <w:p>
            <w:r>
              <w:rPr>
                <w:b/>
                <w:color w:val="FFFFFF"/>
                <w:sz w:val="20"/>
              </w:rPr>
              <w:t>Inhoud</w:t>
            </w:r>
          </w:p>
        </w:tc>
      </w:tr>
      <w:tr>
        <w:tc>
          <w:tcPr>
            <w:tcW w:type="dxa" w:w="4320"/>
          </w:tcPr>
          <w:p>
            <w:r>
              <w:rPr>
                <w:sz w:val="20"/>
              </w:rPr>
              <w:t>Impact</w:t>
            </w:r>
          </w:p>
        </w:tc>
        <w:tc>
          <w:tcPr>
            <w:tcW w:type="dxa" w:w="4320"/>
          </w:tcPr>
          <w:p>
            <w:r>
              <w:rPr>
                <w:i/>
                <w:sz w:val="20"/>
              </w:rPr>
              <w:t>{{impact_description}} — wat een geslaagde aanvaller bereikt, de voorwaarden (netwerktoegang, authenticatie, gebruikersinteractie) en omstandigheden die misbruik in gangbare implementaties beperken</w:t>
            </w:r>
          </w:p>
        </w:tc>
      </w:tr>
      <w:tr>
        <w:tc>
          <w:tcPr>
            <w:tcW w:type="dxa" w:w="4320"/>
          </w:tcPr>
          <w:p>
            <w:r>
              <w:rPr>
                <w:sz w:val="20"/>
              </w:rPr>
              <w:t>Details over misbruik</w:t>
            </w:r>
          </w:p>
        </w:tc>
        <w:tc>
          <w:tcPr>
            <w:tcW w:type="dxa" w:w="4320"/>
          </w:tcPr>
          <w:p>
            <w:r>
              <w:rPr>
                <w:i/>
                <w:sz w:val="20"/>
              </w:rPr>
              <w:t>{{exploitation_details}} — de onderbouwing van het statusveld; bij misbruik in het wild: vermeld de melding onder artikel 14 via het centrale meldplatform</w:t>
            </w:r>
          </w:p>
        </w:tc>
      </w:tr>
      <w:tr>
        <w:tc>
          <w:tcPr>
            <w:tcW w:type="dxa" w:w="4320"/>
          </w:tcPr>
          <w:p>
            <w:r>
              <w:rPr>
                <w:sz w:val="20"/>
              </w:rPr>
              <w:t>Vermelding</w:t>
            </w:r>
          </w:p>
        </w:tc>
        <w:tc>
          <w:tcPr>
            <w:tcW w:type="dxa" w:w="4320"/>
          </w:tcPr>
          <w:p>
            <w:r>
              <w:rPr>
                <w:i/>
                <w:sz w:val="20"/>
              </w:rPr>
              <w:t>{{reporter_credit}} — naam/handle van de melder, met diens instemming</w:t>
            </w:r>
          </w:p>
        </w:tc>
      </w:tr>
    </w:tbl>
    <w:p/>
    <w:p>
      <w:pPr>
        <w:pStyle w:val="Heading2"/>
      </w:pPr>
      <w:r>
        <w:rPr>
          <w:color w:val="0A2733"/>
        </w:rPr>
        <w:t>Tabel met getroffen en herstelde versies</w:t>
      </w:r>
    </w:p>
    <w:p>
      <w:r>
        <w:t>Eén rij per productlijn. Behandel ALLE ondersteunde lijnen; vermeld expliciet welke producten of versies NIET getroffen zijn: {{not_affected_note}}.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0A2733"/>
          </w:tcPr>
          <w:p>
            <w:r>
              <w:rPr>
                <w:b/>
                <w:color w:val="FFFFFF"/>
                <w:sz w:val="20"/>
              </w:rPr>
              <w:t>Product</w:t>
            </w:r>
          </w:p>
        </w:tc>
        <w:tc>
          <w:tcPr>
            <w:tcW w:type="dxa" w:w="2160"/>
            <w:shd w:val="clear" w:fill="0A2733"/>
          </w:tcPr>
          <w:p>
            <w:r>
              <w:rPr>
                <w:b/>
                <w:color w:val="FFFFFF"/>
                <w:sz w:val="20"/>
              </w:rPr>
              <w:t>Getroffen versies</w:t>
            </w:r>
          </w:p>
        </w:tc>
        <w:tc>
          <w:tcPr>
            <w:tcW w:type="dxa" w:w="2160"/>
            <w:shd w:val="clear" w:fill="0A2733"/>
          </w:tcPr>
          <w:p>
            <w:r>
              <w:rPr>
                <w:b/>
                <w:color w:val="FFFFFF"/>
                <w:sz w:val="20"/>
              </w:rPr>
              <w:t>Herstelde versie</w:t>
            </w:r>
          </w:p>
        </w:tc>
        <w:tc>
          <w:tcPr>
            <w:tcW w:type="dxa" w:w="2160"/>
            <w:shd w:val="clear" w:fill="0A2733"/>
          </w:tcPr>
          <w:p>
            <w:r>
              <w:rPr>
                <w:b/>
                <w:color w:val="FFFFFF"/>
                <w:sz w:val="20"/>
              </w:rPr>
              <w:t>Uitrolmodel</w:t>
            </w:r>
          </w:p>
        </w:tc>
      </w:tr>
      <w:tr>
        <w:tc>
          <w:tcPr>
            <w:tcW w:type="dxa" w:w="2160"/>
          </w:tcPr>
          <w:p>
            <w:r>
              <w:rPr>
                <w:i/>
                <w:sz w:val="20"/>
              </w:rPr>
              <w:t>{{product_name}}</w:t>
            </w:r>
          </w:p>
        </w:tc>
        <w:tc>
          <w:tcPr>
            <w:tcW w:type="dxa" w:w="2160"/>
          </w:tcPr>
          <w:p>
            <w:r>
              <w:rPr>
                <w:i/>
                <w:sz w:val="20"/>
              </w:rPr>
              <w:t>{{affected_version_range}}</w:t>
            </w:r>
          </w:p>
        </w:tc>
        <w:tc>
          <w:tcPr>
            <w:tcW w:type="dxa" w:w="2160"/>
          </w:tcPr>
          <w:p>
            <w:r>
              <w:rPr>
                <w:i/>
                <w:sz w:val="20"/>
              </w:rPr>
              <w:t>{{fixed_version}}</w:t>
            </w:r>
          </w:p>
        </w:tc>
        <w:tc>
          <w:tcPr>
            <w:tcW w:type="dxa" w:w="2160"/>
          </w:tcPr>
          <w:p>
            <w:r>
              <w:rPr>
                <w:i/>
                <w:sz w:val="20"/>
              </w:rPr>
              <w:t>{{deployment_model}} (cloud | self-hosted | embedded/firmware)</w:t>
            </w:r>
          </w:p>
        </w:tc>
      </w:tr>
      <w:tr>
        <w:tc>
          <w:tcPr>
            <w:tcW w:type="dxa" w:w="2160"/>
          </w:tcPr>
          <w:p>
            <w:r>
              <w:rPr>
                <w:i/>
                <w:sz w:val="20"/>
              </w:rPr>
              <w:t>{{product_name_2}}</w:t>
            </w:r>
          </w:p>
        </w:tc>
        <w:tc>
          <w:tcPr>
            <w:tcW w:type="dxa" w:w="2160"/>
          </w:tcPr>
          <w:p>
            <w:r>
              <w:rPr>
                <w:i/>
                <w:sz w:val="20"/>
              </w:rPr>
              <w:t>{{affected_version_range_2}}</w:t>
            </w:r>
          </w:p>
        </w:tc>
        <w:tc>
          <w:tcPr>
            <w:tcW w:type="dxa" w:w="2160"/>
          </w:tcPr>
          <w:p>
            <w:r>
              <w:rPr>
                <w:i/>
                <w:sz w:val="20"/>
              </w:rPr>
              <w:t>{{fixed_version_2}}</w:t>
            </w:r>
          </w:p>
        </w:tc>
        <w:tc>
          <w:tcPr>
            <w:tcW w:type="dxa" w:w="2160"/>
          </w:tcPr>
          <w:p>
            <w:r>
              <w:rPr>
                <w:i/>
                <w:sz w:val="20"/>
              </w:rPr>
              <w:t>{{deployment_model_2}}</w:t>
            </w:r>
          </w:p>
        </w:tc>
      </w:tr>
    </w:tbl>
    <w:p/>
    <w:p>
      <w:pPr>
        <w:pStyle w:val="Heading2"/>
      </w:pPr>
      <w:r>
        <w:rPr>
          <w:color w:val="0A2733"/>
        </w:rPr>
        <w:t>Mitigaties</w:t>
      </w:r>
    </w:p>
    <w:p>
      <w:r>
        <w:t>Aanbevolen actie: {{remediation_action}} — normaal gesproken 'Werk bij naar {{fixed_version}} of later'. Vermeld dat de beveiligingsupdate kosteloos is (verplicht gedurende de ondersteuningsperiode, bijlage I, deel II, punt 8) en of hij automatisch wordt toegepast. Tijdelijke oplossingen voor klanten die niet direct kunnen patchen: {{mitigations}} — configuratiewijzigingen, netwerkbeperkingen, functies uitschakelen. Bestaan die niet, vermeld dan: 'Er zijn geen tijdelijke oplossingen; bijwerken is het enige herstel.' Laat deze sectie nooit weg.</w:t>
      </w:r>
    </w:p>
    <w:p>
      <w:pPr>
        <w:pStyle w:val="Heading2"/>
      </w:pPr>
      <w:r>
        <w:rPr>
          <w:color w:val="0A2733"/>
        </w:rPr>
        <w:t>Tijdlijn en wijzigingslogboek</w:t>
      </w:r>
    </w:p>
    <w:p>
      <w:r>
        <w:t>De openbaarmakingstijdlijn toont aan dat u kwetsbaarheden 'onverwijld' afhandelt. Voeg bij elke materiële wijziging een gedateerde rij toe aan het wijzigingslogboek (nieuwe getroffen versies, waargenomen misbruik, herziene mitigaties).</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Datum (UTC)</w:t>
            </w:r>
          </w:p>
        </w:tc>
        <w:tc>
          <w:tcPr>
            <w:tcW w:type="dxa" w:w="4320"/>
            <w:shd w:val="clear" w:fill="0A2733"/>
          </w:tcPr>
          <w:p>
            <w:r>
              <w:rPr>
                <w:b/>
                <w:color w:val="FFFFFF"/>
                <w:sz w:val="20"/>
              </w:rPr>
              <w:t>Gebeurtenis / wijziging</w:t>
            </w:r>
          </w:p>
        </w:tc>
      </w:tr>
      <w:tr>
        <w:tc>
          <w:tcPr>
            <w:tcW w:type="dxa" w:w="4320"/>
          </w:tcPr>
          <w:p>
            <w:r>
              <w:rPr>
                <w:i/>
                <w:sz w:val="20"/>
              </w:rPr>
              <w:t>{{date_reported}}</w:t>
            </w:r>
          </w:p>
        </w:tc>
        <w:tc>
          <w:tcPr>
            <w:tcW w:type="dxa" w:w="4320"/>
          </w:tcPr>
          <w:p>
            <w:r>
              <w:rPr>
                <w:i/>
                <w:sz w:val="20"/>
              </w:rPr>
              <w:t>Kwetsbaarheid gemeld door {{reporter_credit}}</w:t>
            </w:r>
          </w:p>
        </w:tc>
      </w:tr>
      <w:tr>
        <w:tc>
          <w:tcPr>
            <w:tcW w:type="dxa" w:w="4320"/>
          </w:tcPr>
          <w:p>
            <w:r>
              <w:rPr>
                <w:i/>
                <w:sz w:val="20"/>
              </w:rPr>
              <w:t>{{date_triaged}}</w:t>
            </w:r>
          </w:p>
        </w:tc>
        <w:tc>
          <w:tcPr>
            <w:tcW w:type="dxa" w:w="4320"/>
          </w:tcPr>
          <w:p>
            <w:r>
              <w:rPr>
                <w:sz w:val="20"/>
              </w:rPr>
              <w:t>Melding getrieerd en bevestigd</w:t>
            </w:r>
          </w:p>
        </w:tc>
      </w:tr>
      <w:tr>
        <w:tc>
          <w:tcPr>
            <w:tcW w:type="dxa" w:w="4320"/>
          </w:tcPr>
          <w:p>
            <w:r>
              <w:rPr>
                <w:i/>
                <w:sz w:val="20"/>
              </w:rPr>
              <w:t>{{date_cve_assigned}}</w:t>
            </w:r>
          </w:p>
        </w:tc>
        <w:tc>
          <w:tcPr>
            <w:tcW w:type="dxa" w:w="4320"/>
          </w:tcPr>
          <w:p>
            <w:r>
              <w:rPr>
                <w:i/>
                <w:sz w:val="20"/>
              </w:rPr>
              <w:t>{{cve_id}} toegekend</w:t>
            </w:r>
          </w:p>
        </w:tc>
      </w:tr>
      <w:tr>
        <w:tc>
          <w:tcPr>
            <w:tcW w:type="dxa" w:w="4320"/>
          </w:tcPr>
          <w:p>
            <w:r>
              <w:rPr>
                <w:i/>
                <w:sz w:val="20"/>
              </w:rPr>
              <w:t>{{date_fix_released}}</w:t>
            </w:r>
          </w:p>
        </w:tc>
        <w:tc>
          <w:tcPr>
            <w:tcW w:type="dxa" w:w="4320"/>
          </w:tcPr>
          <w:p>
            <w:r>
              <w:rPr>
                <w:i/>
                <w:sz w:val="20"/>
              </w:rPr>
              <w:t>Herstelde versie {{fixed_version}} uitgebracht</w:t>
            </w:r>
          </w:p>
        </w:tc>
      </w:tr>
      <w:tr>
        <w:tc>
          <w:tcPr>
            <w:tcW w:type="dxa" w:w="4320"/>
          </w:tcPr>
          <w:p>
            <w:r>
              <w:rPr>
                <w:i/>
                <w:sz w:val="20"/>
              </w:rPr>
              <w:t>{{date_published}}</w:t>
            </w:r>
          </w:p>
        </w:tc>
        <w:tc>
          <w:tcPr>
            <w:tcW w:type="dxa" w:w="4320"/>
          </w:tcPr>
          <w:p>
            <w:r>
              <w:rPr>
                <w:sz w:val="20"/>
              </w:rPr>
              <w:t>Advies gepubliceerd (wijzigingslogboek v1.0: eerste publicatie)</w:t>
            </w:r>
          </w:p>
        </w:tc>
      </w:tr>
      <w:tr>
        <w:tc>
          <w:tcPr>
            <w:tcW w:type="dxa" w:w="4320"/>
          </w:tcPr>
          <w:p>
            <w:r>
              <w:rPr>
                <w:i/>
                <w:sz w:val="20"/>
              </w:rPr>
              <w:t>{{update_date}}</w:t>
            </w:r>
          </w:p>
        </w:tc>
        <w:tc>
          <w:tcPr>
            <w:tcW w:type="dxa" w:w="4320"/>
          </w:tcPr>
          <w:p>
            <w:r>
              <w:rPr>
                <w:i/>
                <w:sz w:val="20"/>
              </w:rPr>
              <w:t>Wijzigingslogboek v{{update_version}}: {{update_description}}</w:t>
            </w:r>
          </w:p>
        </w:tc>
      </w:tr>
    </w:tbl>
    <w:p/>
    <w:p>
      <w:pPr>
        <w:pStyle w:val="Heading2"/>
      </w:pPr>
      <w:r>
        <w:rPr>
          <w:color w:val="0A2733"/>
        </w:rPr>
        <w:t>E-mailvariant van de melding</w:t>
      </w:r>
    </w:p>
    <w:p>
      <w:r>
        <w:t>Onderwerp: [{{severity_uppercase}}] Beveiligingsadvies {{advisory_id}}: {{advisory_title_short}}</w:t>
      </w:r>
    </w:p>
    <w:p>
      <w:r>
        <w:t>Beste {{recipient_name}},</w:t>
      </w:r>
    </w:p>
    <w:p>
      <w:r>
        <w:t>Wij hebben een beveiligingsadvies gepubliceerd dat {{product_name}} betreft.</w:t>
      </w:r>
    </w:p>
    <w:p>
      <w:r>
        <w:t>Advies: {{advisory_id}} — {{advisory_title_short}}</w:t>
        <w:br/>
        <w:t>CVE / EUVD: {{cve_id}} / {{euvd_id}}</w:t>
        <w:br/>
        <w:t>Ernst: {{severity}} (CVSS v4.0 {{cvss_base_score}})</w:t>
        <w:br/>
        <w:t>Getroffen: {{affected_version_range}}</w:t>
        <w:br/>
        <w:t>Hersteld in: {{fixed_version}}</w:t>
        <w:br/>
        <w:t>Misbruik: {{exploitation_status}}</w:t>
      </w:r>
    </w:p>
    <w:p>
      <w:r>
        <w:t>Wat u moet doen:</w:t>
        <w:br/>
        <w:t>{{action_summary}}</w:t>
      </w:r>
    </w:p>
    <w:p>
      <w:r>
        <w:t>Het volledige advies, inclusief mitigaties en de openbaarmakingstijdlijn:</w:t>
        <w:br/>
        <w:t>{{advisory_url}}</w:t>
      </w:r>
    </w:p>
    <w:p>
      <w:r>
        <w:t>Wij werken het advies bij zodra er iets materieel verandert; abonnees van ons Trust Center ontvangen die updates automatisch.</w:t>
      </w:r>
    </w:p>
    <w:p>
      <w:r>
        <w:t>{{sender_name}}</w:t>
        <w:br/>
        <w:t>Security Team, {{company_name}}</w:t>
        <w:br/>
        <w:t>{{security_contact_email}}</w:t>
      </w:r>
    </w:p>
    <w:p>
      <w:r>
        <w:t>Contactblok voor het advies zelf: meld kwetsbaarheden bij {{security_contact_email}} (CVD-beleid: {{cvd_policy_url}}). PGP-sleutel: {{pgp_key_url}} — vingerafdruk {{pgp_fingerprint}}.</w:t>
      </w:r>
    </w:p>
    <w:p>
      <w:r>
        <w:br w:type="page"/>
      </w:r>
    </w:p>
    <w:p>
      <w:pPr>
        <w:pStyle w:val="Heading1"/>
      </w:pPr>
      <w:r>
        <w:rPr>
          <w:color w:val="0A2733"/>
        </w:rPr>
        <w:t>INGEVULD VOORBEELD (fictief — vervang door uw eigen gegevens)</w:t>
      </w:r>
    </w:p>
    <w:p>
      <w:pPr>
        <w:pStyle w:val="Heading2"/>
      </w:pPr>
      <w:r>
        <w:rPr>
          <w:color w:val="0A2733"/>
        </w:rPr>
        <w:t>Kopblok van het advies — VOORBEELD (fictief)</w:t>
      </w:r>
    </w:p>
    <w:p>
      <w:r>
        <w:t>Alle namen, producten, versies, identificatiecodes en gebeurtenissen zijn fictief en dienen uitsluitend ter illustratie.</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Veld</w:t>
            </w:r>
          </w:p>
        </w:tc>
        <w:tc>
          <w:tcPr>
            <w:tcW w:type="dxa" w:w="4320"/>
            <w:shd w:val="clear" w:fill="0A2733"/>
          </w:tcPr>
          <w:p>
            <w:r>
              <w:rPr>
                <w:b/>
                <w:color w:val="FFFFFF"/>
                <w:sz w:val="20"/>
              </w:rPr>
              <w:t>Waarde</w:t>
            </w:r>
          </w:p>
        </w:tc>
      </w:tr>
      <w:tr>
        <w:tc>
          <w:tcPr>
            <w:tcW w:type="dxa" w:w="4320"/>
          </w:tcPr>
          <w:p>
            <w:r>
              <w:rPr>
                <w:sz w:val="20"/>
              </w:rPr>
              <w:t>Titel van het advies</w:t>
            </w:r>
          </w:p>
        </w:tc>
        <w:tc>
          <w:tcPr>
            <w:tcW w:type="dxa" w:w="4320"/>
          </w:tcPr>
          <w:p>
            <w:r>
              <w:rPr>
                <w:sz w:val="20"/>
              </w:rPr>
              <w:t>Aurivo Edge Gateway: niet-geauthenticeerde remote code execution in de sync-API (CVE-2026-41337)</w:t>
            </w:r>
          </w:p>
        </w:tc>
      </w:tr>
      <w:tr>
        <w:tc>
          <w:tcPr>
            <w:tcW w:type="dxa" w:w="4320"/>
          </w:tcPr>
          <w:p>
            <w:r>
              <w:rPr>
                <w:sz w:val="20"/>
              </w:rPr>
              <w:t>Advies-ID</w:t>
            </w:r>
          </w:p>
        </w:tc>
        <w:tc>
          <w:tcPr>
            <w:tcW w:type="dxa" w:w="4320"/>
          </w:tcPr>
          <w:p>
            <w:r>
              <w:rPr>
                <w:sz w:val="20"/>
              </w:rPr>
              <w:t>AURIVO-SA-2026-004</w:t>
            </w:r>
          </w:p>
        </w:tc>
      </w:tr>
      <w:tr>
        <w:tc>
          <w:tcPr>
            <w:tcW w:type="dxa" w:w="4320"/>
          </w:tcPr>
          <w:p>
            <w:r>
              <w:rPr>
                <w:sz w:val="20"/>
              </w:rPr>
              <w:t>CVE-ID</w:t>
            </w:r>
          </w:p>
        </w:tc>
        <w:tc>
          <w:tcPr>
            <w:tcW w:type="dxa" w:w="4320"/>
          </w:tcPr>
          <w:p>
            <w:r>
              <w:rPr>
                <w:sz w:val="20"/>
              </w:rPr>
              <w:t>CVE-2026-41337</w:t>
            </w:r>
          </w:p>
        </w:tc>
      </w:tr>
      <w:tr>
        <w:tc>
          <w:tcPr>
            <w:tcW w:type="dxa" w:w="4320"/>
          </w:tcPr>
          <w:p>
            <w:r>
              <w:rPr>
                <w:sz w:val="20"/>
              </w:rPr>
              <w:t>EUVD-ID</w:t>
            </w:r>
          </w:p>
        </w:tc>
        <w:tc>
          <w:tcPr>
            <w:tcW w:type="dxa" w:w="4320"/>
          </w:tcPr>
          <w:p>
            <w:r>
              <w:rPr>
                <w:sz w:val="20"/>
              </w:rPr>
              <w:t>EUVD-2026-08123</w:t>
            </w:r>
          </w:p>
        </w:tc>
      </w:tr>
      <w:tr>
        <w:tc>
          <w:tcPr>
            <w:tcW w:type="dxa" w:w="4320"/>
          </w:tcPr>
          <w:p>
            <w:r>
              <w:rPr>
                <w:sz w:val="20"/>
              </w:rPr>
              <w:t>Ernst</w:t>
            </w:r>
          </w:p>
        </w:tc>
        <w:tc>
          <w:tcPr>
            <w:tcW w:type="dxa" w:w="4320"/>
          </w:tcPr>
          <w:p>
            <w:r>
              <w:rPr>
                <w:sz w:val="20"/>
              </w:rPr>
              <w:t>critical (9.3)</w:t>
            </w:r>
          </w:p>
        </w:tc>
      </w:tr>
      <w:tr>
        <w:tc>
          <w:tcPr>
            <w:tcW w:type="dxa" w:w="4320"/>
          </w:tcPr>
          <w:p>
            <w:r>
              <w:rPr>
                <w:sz w:val="20"/>
              </w:rPr>
              <w:t>CVSS v4.0-vector</w:t>
            </w:r>
          </w:p>
        </w:tc>
        <w:tc>
          <w:tcPr>
            <w:tcW w:type="dxa" w:w="4320"/>
          </w:tcPr>
          <w:p>
            <w:r>
              <w:rPr>
                <w:sz w:val="20"/>
              </w:rPr>
              <w:t>CVSS:4.0/AV:N/AC:L/AT:N/PR:N/UI:N/VC:H/VI:H/VA:H/SC:N/SI:N/SA:N</w:t>
            </w:r>
          </w:p>
        </w:tc>
      </w:tr>
      <w:tr>
        <w:tc>
          <w:tcPr>
            <w:tcW w:type="dxa" w:w="4320"/>
          </w:tcPr>
          <w:p>
            <w:r>
              <w:rPr>
                <w:sz w:val="20"/>
              </w:rPr>
              <w:t>Misbruikstatus</w:t>
            </w:r>
          </w:p>
        </w:tc>
        <w:tc>
          <w:tcPr>
            <w:tcW w:type="dxa" w:w="4320"/>
          </w:tcPr>
          <w:p>
            <w:r>
              <w:rPr>
                <w:sz w:val="20"/>
              </w:rPr>
              <w:t>none-known</w:t>
            </w:r>
          </w:p>
        </w:tc>
      </w:tr>
      <w:tr>
        <w:tc>
          <w:tcPr>
            <w:tcW w:type="dxa" w:w="4320"/>
          </w:tcPr>
          <w:p>
            <w:r>
              <w:rPr>
                <w:sz w:val="20"/>
              </w:rPr>
              <w:t>Status van het advies</w:t>
            </w:r>
          </w:p>
        </w:tc>
        <w:tc>
          <w:tcPr>
            <w:tcW w:type="dxa" w:w="4320"/>
          </w:tcPr>
          <w:p>
            <w:r>
              <w:rPr>
                <w:sz w:val="20"/>
              </w:rPr>
              <w:t>published</w:t>
            </w:r>
          </w:p>
        </w:tc>
      </w:tr>
      <w:tr>
        <w:tc>
          <w:tcPr>
            <w:tcW w:type="dxa" w:w="4320"/>
          </w:tcPr>
          <w:p>
            <w:r>
              <w:rPr>
                <w:sz w:val="20"/>
              </w:rPr>
              <w:t>Eerst gepubliceerd (UTC)</w:t>
            </w:r>
          </w:p>
        </w:tc>
        <w:tc>
          <w:tcPr>
            <w:tcW w:type="dxa" w:w="4320"/>
          </w:tcPr>
          <w:p>
            <w:r>
              <w:rPr>
                <w:sz w:val="20"/>
              </w:rPr>
              <w:t>2026-06-24</w:t>
            </w:r>
          </w:p>
        </w:tc>
      </w:tr>
      <w:tr>
        <w:tc>
          <w:tcPr>
            <w:tcW w:type="dxa" w:w="4320"/>
          </w:tcPr>
          <w:p>
            <w:r>
              <w:rPr>
                <w:sz w:val="20"/>
              </w:rPr>
              <w:t>Laatst bijgewerkt (UTC)</w:t>
            </w:r>
          </w:p>
        </w:tc>
        <w:tc>
          <w:tcPr>
            <w:tcW w:type="dxa" w:w="4320"/>
          </w:tcPr>
          <w:p>
            <w:r>
              <w:rPr>
                <w:sz w:val="20"/>
              </w:rPr>
              <w:t>2026-07-01</w:t>
            </w:r>
          </w:p>
        </w:tc>
      </w:tr>
      <w:tr>
        <w:tc>
          <w:tcPr>
            <w:tcW w:type="dxa" w:w="4320"/>
          </w:tcPr>
          <w:p>
            <w:r>
              <w:rPr>
                <w:sz w:val="20"/>
              </w:rPr>
              <w:t>Samenvatting</w:t>
            </w:r>
          </w:p>
        </w:tc>
        <w:tc>
          <w:tcPr>
            <w:tcW w:type="dxa" w:w="4320"/>
          </w:tcPr>
          <w:p>
            <w:r>
              <w:rPr>
                <w:sz w:val="20"/>
              </w:rPr>
              <w:t>Een deserialisatiefout in de device-sync-API van Aurivo Edge Gateway stelt een niet-geauthenticeerde aanvaller met netwerktoegang in staat willekeurige code uit te voeren met de rechten van de service. Aurivo Edge Gateway 3.8.2 verhelpt het probleem. Werk direct bij; voor implementaties die deze week niet kunnen patchen is er een tijdelijke oplossing via de configuratie.</w:t>
            </w:r>
          </w:p>
        </w:tc>
      </w:tr>
    </w:tbl>
    <w:p/>
    <w:p>
      <w:pPr>
        <w:pStyle w:val="Heading2"/>
      </w:pPr>
      <w:r>
        <w:rPr>
          <w:color w:val="0A2733"/>
        </w:rPr>
        <w:t>Tabel met kwetsbaarheidsdetails — VOORBEELD (fictief)</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Veld</w:t>
            </w:r>
          </w:p>
        </w:tc>
        <w:tc>
          <w:tcPr>
            <w:tcW w:type="dxa" w:w="4320"/>
            <w:shd w:val="clear" w:fill="0A2733"/>
          </w:tcPr>
          <w:p>
            <w:r>
              <w:rPr>
                <w:b/>
                <w:color w:val="FFFFFF"/>
                <w:sz w:val="20"/>
              </w:rPr>
              <w:t>Inhoud</w:t>
            </w:r>
          </w:p>
        </w:tc>
      </w:tr>
      <w:tr>
        <w:tc>
          <w:tcPr>
            <w:tcW w:type="dxa" w:w="4320"/>
          </w:tcPr>
          <w:p>
            <w:r>
              <w:rPr>
                <w:sz w:val="20"/>
              </w:rPr>
              <w:t>Impact</w:t>
            </w:r>
          </w:p>
        </w:tc>
        <w:tc>
          <w:tcPr>
            <w:tcW w:type="dxa" w:w="4320"/>
          </w:tcPr>
          <w:p>
            <w:r>
              <w:rPr>
                <w:sz w:val="20"/>
              </w:rPr>
              <w:t>Een aanvaller met netwerktoegang tot de poort van de sync-API (standaard 8443/tcp) kan een geprepareerde payload sturen die zonder validatie wordt gedeserialiseerd, wat leidt tot remote code execution als het serviceaccount aurivo-sync. Authenticatie of gebruikersinteractie is niet nodig. Implementaties die poort 8443 beperken tot beheernetwerken verkleinen de blootstelling, maar heffen die niet op.</w:t>
            </w:r>
          </w:p>
        </w:tc>
      </w:tr>
      <w:tr>
        <w:tc>
          <w:tcPr>
            <w:tcW w:type="dxa" w:w="4320"/>
          </w:tcPr>
          <w:p>
            <w:r>
              <w:rPr>
                <w:sz w:val="20"/>
              </w:rPr>
              <w:t>Details over misbruik</w:t>
            </w:r>
          </w:p>
        </w:tc>
        <w:tc>
          <w:tcPr>
            <w:tcW w:type="dxa" w:w="4320"/>
          </w:tcPr>
          <w:p>
            <w:r>
              <w:rPr>
                <w:sz w:val="20"/>
              </w:rPr>
              <w:t>Wij zijn niet bekend met misbruik in het wild, en op het moment van publicatie bestaat er geen publieke proof-of-concept. Mochten wij kennis krijgen van actief misbruik, dan melden wij dat via het centrale CRA-meldplatform conform artikel 14 en werken wij dit advies bij.</w:t>
            </w:r>
          </w:p>
        </w:tc>
      </w:tr>
      <w:tr>
        <w:tc>
          <w:tcPr>
            <w:tcW w:type="dxa" w:w="4320"/>
          </w:tcPr>
          <w:p>
            <w:r>
              <w:rPr>
                <w:sz w:val="20"/>
              </w:rPr>
              <w:t>Vermelding</w:t>
            </w:r>
          </w:p>
        </w:tc>
        <w:tc>
          <w:tcPr>
            <w:tcW w:type="dxa" w:w="4320"/>
          </w:tcPr>
          <w:p>
            <w:r>
              <w:rPr>
                <w:sz w:val="20"/>
              </w:rPr>
              <w:t>Mira Lindqvist (onafhankelijk onderzoeker) — gemeld via ons programma voor gecoördineerde openbaarmaking van kwetsbaarheden.</w:t>
            </w:r>
          </w:p>
        </w:tc>
      </w:tr>
    </w:tbl>
    <w:p/>
    <w:p>
      <w:pPr>
        <w:pStyle w:val="Heading2"/>
      </w:pPr>
      <w:r>
        <w:rPr>
          <w:color w:val="0A2733"/>
        </w:rPr>
        <w:t>Tabel met getroffen en herstelde versies — VOORBEELD (fictief)</w:t>
      </w:r>
    </w:p>
    <w:p>
      <w:r>
        <w:t>Niet getroffen: Aurivo Cloud Console (de sync-API is daar niet benaderbaar); Edge Gateway-releases van vóór 3.2.0 (het getroffen endpoint is in 3.2.0 geïntroduceerd).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0A2733"/>
          </w:tcPr>
          <w:p>
            <w:r>
              <w:rPr>
                <w:b/>
                <w:color w:val="FFFFFF"/>
                <w:sz w:val="20"/>
              </w:rPr>
              <w:t>Product</w:t>
            </w:r>
          </w:p>
        </w:tc>
        <w:tc>
          <w:tcPr>
            <w:tcW w:type="dxa" w:w="2160"/>
            <w:shd w:val="clear" w:fill="0A2733"/>
          </w:tcPr>
          <w:p>
            <w:r>
              <w:rPr>
                <w:b/>
                <w:color w:val="FFFFFF"/>
                <w:sz w:val="20"/>
              </w:rPr>
              <w:t>Getroffen versies</w:t>
            </w:r>
          </w:p>
        </w:tc>
        <w:tc>
          <w:tcPr>
            <w:tcW w:type="dxa" w:w="2160"/>
            <w:shd w:val="clear" w:fill="0A2733"/>
          </w:tcPr>
          <w:p>
            <w:r>
              <w:rPr>
                <w:b/>
                <w:color w:val="FFFFFF"/>
                <w:sz w:val="20"/>
              </w:rPr>
              <w:t>Herstelde versie</w:t>
            </w:r>
          </w:p>
        </w:tc>
        <w:tc>
          <w:tcPr>
            <w:tcW w:type="dxa" w:w="2160"/>
            <w:shd w:val="clear" w:fill="0A2733"/>
          </w:tcPr>
          <w:p>
            <w:r>
              <w:rPr>
                <w:b/>
                <w:color w:val="FFFFFF"/>
                <w:sz w:val="20"/>
              </w:rPr>
              <w:t>Uitrolmodel</w:t>
            </w:r>
          </w:p>
        </w:tc>
      </w:tr>
      <w:tr>
        <w:tc>
          <w:tcPr>
            <w:tcW w:type="dxa" w:w="2160"/>
          </w:tcPr>
          <w:p>
            <w:r>
              <w:rPr>
                <w:sz w:val="20"/>
              </w:rPr>
              <w:t>Aurivo Edge Gateway</w:t>
            </w:r>
          </w:p>
        </w:tc>
        <w:tc>
          <w:tcPr>
            <w:tcW w:type="dxa" w:w="2160"/>
          </w:tcPr>
          <w:p>
            <w:r>
              <w:rPr>
                <w:sz w:val="20"/>
              </w:rPr>
              <w:t>3.2.0 – 3.8.1</w:t>
            </w:r>
          </w:p>
        </w:tc>
        <w:tc>
          <w:tcPr>
            <w:tcW w:type="dxa" w:w="2160"/>
          </w:tcPr>
          <w:p>
            <w:r>
              <w:rPr>
                <w:sz w:val="20"/>
              </w:rPr>
              <w:t>3.8.2</w:t>
            </w:r>
          </w:p>
        </w:tc>
        <w:tc>
          <w:tcPr>
            <w:tcW w:type="dxa" w:w="2160"/>
          </w:tcPr>
          <w:p>
            <w:r>
              <w:rPr>
                <w:sz w:val="20"/>
              </w:rPr>
              <w:t>self-hosted</w:t>
            </w:r>
          </w:p>
        </w:tc>
      </w:tr>
      <w:tr>
        <w:tc>
          <w:tcPr>
            <w:tcW w:type="dxa" w:w="2160"/>
          </w:tcPr>
          <w:p>
            <w:r>
              <w:rPr>
                <w:sz w:val="20"/>
              </w:rPr>
              <w:t>Aurivo Edge Gateway LTS</w:t>
            </w:r>
          </w:p>
        </w:tc>
        <w:tc>
          <w:tcPr>
            <w:tcW w:type="dxa" w:w="2160"/>
          </w:tcPr>
          <w:p>
            <w:r>
              <w:rPr>
                <w:sz w:val="20"/>
              </w:rPr>
              <w:t>2.9.0 – 2.9.14</w:t>
            </w:r>
          </w:p>
        </w:tc>
        <w:tc>
          <w:tcPr>
            <w:tcW w:type="dxa" w:w="2160"/>
          </w:tcPr>
          <w:p>
            <w:r>
              <w:rPr>
                <w:sz w:val="20"/>
              </w:rPr>
              <w:t>2.9.15</w:t>
            </w:r>
          </w:p>
        </w:tc>
        <w:tc>
          <w:tcPr>
            <w:tcW w:type="dxa" w:w="2160"/>
          </w:tcPr>
          <w:p>
            <w:r>
              <w:rPr>
                <w:sz w:val="20"/>
              </w:rPr>
              <w:t>self-hosted</w:t>
            </w:r>
          </w:p>
        </w:tc>
      </w:tr>
    </w:tbl>
    <w:p/>
    <w:p>
      <w:pPr>
        <w:pStyle w:val="Heading2"/>
      </w:pPr>
      <w:r>
        <w:rPr>
          <w:color w:val="0A2733"/>
        </w:rPr>
        <w:t>Mitigaties — VOORBEELD (fictief)</w:t>
      </w:r>
    </w:p>
    <w:p>
      <w:r>
        <w:t>Aanbevolen actie: werk bij naar Aurivo Edge Gateway 3.8.2 (of LTS 2.9.15) of later. De beveiligingsupdate is kosteloos voor alle ondersteunde installaties en is beschikbaar via het reguliere updatekanaal. Tijdelijke oplossing: implementaties die niet direct kunnen patchen, doen er goed aan de toegang tot TCP-poort 8443 te beperken tot vertrouwde beheernetwerken, of de device-sync-API uit te schakelen (sync.enabled = false in gateway.conf; vereist een herstart van de service). Het uitschakelen van sync pauzeert de distributie van vlootconfiguratie, maar heeft geen gevolgen voor het dataplane-verkeer.</w:t>
      </w:r>
    </w:p>
    <w:p>
      <w:pPr>
        <w:pStyle w:val="Heading2"/>
      </w:pPr>
      <w:r>
        <w:rPr>
          <w:color w:val="0A2733"/>
        </w:rPr>
        <w:t>Tijdlijn en wijzigingslogboek — VOORBEELD (fictief)</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Datum (UTC)</w:t>
            </w:r>
          </w:p>
        </w:tc>
        <w:tc>
          <w:tcPr>
            <w:tcW w:type="dxa" w:w="4320"/>
            <w:shd w:val="clear" w:fill="0A2733"/>
          </w:tcPr>
          <w:p>
            <w:r>
              <w:rPr>
                <w:b/>
                <w:color w:val="FFFFFF"/>
                <w:sz w:val="20"/>
              </w:rPr>
              <w:t>Gebeurtenis / wijziging</w:t>
            </w:r>
          </w:p>
        </w:tc>
      </w:tr>
      <w:tr>
        <w:tc>
          <w:tcPr>
            <w:tcW w:type="dxa" w:w="4320"/>
          </w:tcPr>
          <w:p>
            <w:r>
              <w:rPr>
                <w:sz w:val="20"/>
              </w:rPr>
              <w:t>2026-06-09</w:t>
            </w:r>
          </w:p>
        </w:tc>
        <w:tc>
          <w:tcPr>
            <w:tcW w:type="dxa" w:w="4320"/>
          </w:tcPr>
          <w:p>
            <w:r>
              <w:rPr>
                <w:sz w:val="20"/>
              </w:rPr>
              <w:t>Kwetsbaarheid gemeld door Mira Lindqvist (onafhankelijk onderzoeker)</w:t>
            </w:r>
          </w:p>
        </w:tc>
      </w:tr>
      <w:tr>
        <w:tc>
          <w:tcPr>
            <w:tcW w:type="dxa" w:w="4320"/>
          </w:tcPr>
          <w:p>
            <w:r>
              <w:rPr>
                <w:sz w:val="20"/>
              </w:rPr>
              <w:t>2026-06-10</w:t>
            </w:r>
          </w:p>
        </w:tc>
        <w:tc>
          <w:tcPr>
            <w:tcW w:type="dxa" w:w="4320"/>
          </w:tcPr>
          <w:p>
            <w:r>
              <w:rPr>
                <w:sz w:val="20"/>
              </w:rPr>
              <w:t>Melding getrieerd en bevestigd</w:t>
            </w:r>
          </w:p>
        </w:tc>
      </w:tr>
      <w:tr>
        <w:tc>
          <w:tcPr>
            <w:tcW w:type="dxa" w:w="4320"/>
          </w:tcPr>
          <w:p>
            <w:r>
              <w:rPr>
                <w:sz w:val="20"/>
              </w:rPr>
              <w:t>2026-06-12</w:t>
            </w:r>
          </w:p>
        </w:tc>
        <w:tc>
          <w:tcPr>
            <w:tcW w:type="dxa" w:w="4320"/>
          </w:tcPr>
          <w:p>
            <w:r>
              <w:rPr>
                <w:sz w:val="20"/>
              </w:rPr>
              <w:t>CVE-2026-41337 toegekend</w:t>
            </w:r>
          </w:p>
        </w:tc>
      </w:tr>
      <w:tr>
        <w:tc>
          <w:tcPr>
            <w:tcW w:type="dxa" w:w="4320"/>
          </w:tcPr>
          <w:p>
            <w:r>
              <w:rPr>
                <w:sz w:val="20"/>
              </w:rPr>
              <w:t>2026-06-24</w:t>
            </w:r>
          </w:p>
        </w:tc>
        <w:tc>
          <w:tcPr>
            <w:tcW w:type="dxa" w:w="4320"/>
          </w:tcPr>
          <w:p>
            <w:r>
              <w:rPr>
                <w:sz w:val="20"/>
              </w:rPr>
              <w:t>Herstelde versies 3.8.2 en 2.9.15 uitgebracht</w:t>
            </w:r>
          </w:p>
        </w:tc>
      </w:tr>
      <w:tr>
        <w:tc>
          <w:tcPr>
            <w:tcW w:type="dxa" w:w="4320"/>
          </w:tcPr>
          <w:p>
            <w:r>
              <w:rPr>
                <w:sz w:val="20"/>
              </w:rPr>
              <w:t>2026-06-24</w:t>
            </w:r>
          </w:p>
        </w:tc>
        <w:tc>
          <w:tcPr>
            <w:tcW w:type="dxa" w:w="4320"/>
          </w:tcPr>
          <w:p>
            <w:r>
              <w:rPr>
                <w:sz w:val="20"/>
              </w:rPr>
              <w:t>Advies gepubliceerd (wijzigingslogboek v1.0: eerste publicatie)</w:t>
            </w:r>
          </w:p>
        </w:tc>
      </w:tr>
      <w:tr>
        <w:tc>
          <w:tcPr>
            <w:tcW w:type="dxa" w:w="4320"/>
          </w:tcPr>
          <w:p>
            <w:r>
              <w:rPr>
                <w:sz w:val="20"/>
              </w:rPr>
              <w:t>2026-07-01</w:t>
            </w:r>
          </w:p>
        </w:tc>
        <w:tc>
          <w:tcPr>
            <w:tcW w:type="dxa" w:w="4320"/>
          </w:tcPr>
          <w:p>
            <w:r>
              <w:rPr>
                <w:sz w:val="20"/>
              </w:rPr>
              <w:t>Wijzigingslogboek v1.1: getroffen bereik LTS 2.9.x en herstelde versie 2.9.15 toegevoegd</w:t>
            </w:r>
          </w:p>
        </w:tc>
      </w:tr>
    </w:tbl>
    <w:p/>
    <w:p>
      <w:pPr>
        <w:pStyle w:val="Heading2"/>
      </w:pPr>
      <w:r>
        <w:rPr>
          <w:color w:val="0A2733"/>
        </w:rPr>
        <w:t>E-mailvariant van de melding — VOORBEELD (fictief)</w:t>
      </w:r>
    </w:p>
    <w:p>
      <w:r>
        <w:t>Onderwerp: [CRITICAL] Beveiligingsadvies AURIVO-SA-2026-004: niet-geauthenticeerde RCE in de sync-API van Aurivo Edge Gateway</w:t>
      </w:r>
    </w:p>
    <w:p>
      <w:r>
        <w:t>Beste mevrouw Berg,</w:t>
      </w:r>
    </w:p>
    <w:p>
      <w:r>
        <w:t>Wij hebben een beveiligingsadvies gepubliceerd dat Aurivo Edge Gateway betreft.</w:t>
      </w:r>
    </w:p>
    <w:p>
      <w:r>
        <w:t>Advies: AURIVO-SA-2026-004 — niet-geauthenticeerde RCE in de sync-API</w:t>
        <w:br/>
        <w:t>CVE / EUVD: CVE-2026-41337 / EUVD-2026-08123</w:t>
        <w:br/>
        <w:t>Ernst: critical (CVSS v4.0 9.3)</w:t>
        <w:br/>
        <w:t>Getroffen: 3.2.0 – 3.8.1 en LTS 2.9.0 – 2.9.14</w:t>
        <w:br/>
        <w:t>Hersteld in: 3.8.2 / LTS 2.9.15</w:t>
        <w:br/>
        <w:t>Misbruik: none-known</w:t>
      </w:r>
    </w:p>
    <w:p>
      <w:r>
        <w:t>Wat u moet doen:</w:t>
        <w:br/>
        <w:t>Werk alle self-hosted Edge Gateway-instanties zo snel mogelijk bij naar 3.8.2 (of LTS 2.9.15). Kunt u deze week niet patchen, beperk dan TCP-poort 8443 tot vertrouwde beheernetwerken of schakel de device-sync-API uit.</w:t>
      </w:r>
    </w:p>
    <w:p>
      <w:r>
        <w:t>Het volledige advies, inclusief mitigaties en de openbaarmakingstijdlijn:</w:t>
        <w:br/>
        <w:t>https://trust.aurivo.example/advisories/AURIVO-SA-2026-004</w:t>
      </w:r>
    </w:p>
    <w:p>
      <w:r>
        <w:t>Wij werken het advies bij zodra er iets materieel verandert; abonnees van ons Trust Center ontvangen die updates automatisch.</w:t>
      </w:r>
    </w:p>
    <w:p>
      <w:r>
        <w:t>Jonas Feld</w:t>
        <w:br/>
        <w:t>Security Team, Aurivo Systems GmbH</w:t>
        <w:br/>
        <w:t>security@aurivo.example</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A9397"/>
        <w:sz w:val="15"/>
      </w:rPr>
      <w:t>CRA Vulnerability Advisory Template v1.0 · 2026-07-03 · Orbiq · www.orbiqhq.com/templates/cra-vulnerability-advisory-template · Not legal advice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elvetica" w:hAnsi="Helvetic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