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A2733"/>
        </w:rPr>
        <w:t>DORA-exitstrategie- en exitplansjabloon</w:t>
      </w:r>
    </w:p>
    <w:p>
      <w:r>
        <w:rPr>
          <w:b w:val="0"/>
          <w:i/>
          <w:sz w:val="22"/>
        </w:rPr>
        <w:t>Artikel 28, lid 8, Verordening (EU) 2022/2554 · RTS (EU) 2024/1773, artikel 10</w:t>
      </w:r>
    </w:p>
    <w:p>
      <w:r>
        <w:rPr>
          <w:b w:val="0"/>
          <w:i w:val="0"/>
          <w:sz w:val="18"/>
        </w:rPr>
        <w:t>GRATIS SJABLOON — DOCX · PDF · MD | Versie 1.0 · Bijgewerkt 2026-07-23</w:t>
      </w:r>
    </w:p>
    <w:p>
      <w:r>
        <w:rPr>
          <w:b w:val="0"/>
          <w:i w:val="0"/>
          <w:sz w:val="18"/>
        </w:rPr>
        <w:t>Gebruiksaanwijzing: Deel A vult u één keer in op entiteitsniveau. Deel B vult u één keer in per contractuele overeenkomst die een kritieke of belangrijke functie ondersteunt (één plan per overeenkomst — RTS (EU) 2024/1773, art. 10). Deel C registreert elke test en evaluatie. Deel D is het activeringsdraaiboek. Deel E is een ingevuld fictief voorbeeld. Vervang alle [tussen haken geplaatste] instructietekst. Dit sjabloon is een startpunt, geen juridisch advies.</w:t>
      </w:r>
    </w:p>
    <w:p>
      <w:r>
        <w:rPr>
          <w:b/>
          <w:i w:val="0"/>
          <w:sz w:val="18"/>
        </w:rPr>
        <w:t>Beschermde uitkomsten — elke exit moet worden voltooid (a) zonder verstoring van de bedrijfsactiviteiten, (b) zonder beperking van de naleving van regelgeving, (c) zonder afbreuk aan de continuïteit en kwaliteit van de dienstverlening aan klanten (art. 28, lid 8).</w:t>
      </w:r>
    </w:p>
    <w:p>
      <w:r/>
    </w:p>
    <w:p>
      <w:pPr>
        <w:pStyle w:val="Heading1"/>
      </w:pPr>
      <w:r>
        <w:rPr>
          <w:color w:val="0A2733"/>
        </w:rPr>
        <w:t>Deel A — Exitstrategie op entiteitsniveau</w:t>
      </w:r>
    </w:p>
    <w:p>
      <w:r>
        <w:rPr>
          <w:b w:val="0"/>
          <w:i/>
          <w:sz w:val="18"/>
        </w:rPr>
        <w:t>Eén keer ingevuld; ten minste jaarlijks en bij materiële wijziging geëvalueerd.</w:t>
      </w:r>
    </w:p>
    <w:p>
      <w:pPr>
        <w:pStyle w:val="Heading2"/>
      </w:pPr>
      <w:r>
        <w:rPr>
          <w:color w:val="0A2733"/>
        </w:rPr>
        <w:t>A.1 Scope &amp; governance</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Financiële entiteit</w:t>
            </w:r>
          </w:p>
        </w:tc>
        <w:tc>
          <w:tcPr>
            <w:tcW w:type="dxa" w:w="6192"/>
          </w:tcPr>
          <w:p>
            <w:r>
              <w:rPr>
                <w:sz w:val="18"/>
              </w:rPr>
              <w:t>[Juridische naam · LEI]</w:t>
            </w:r>
          </w:p>
        </w:tc>
      </w:tr>
      <w:tr>
        <w:tc>
          <w:tcPr>
            <w:tcW w:type="dxa" w:w="3168"/>
            <w:shd w:val="clear" w:fill="EEF2F4"/>
          </w:tcPr>
          <w:p>
            <w:r>
              <w:rPr>
                <w:b/>
                <w:sz w:val="18"/>
              </w:rPr>
              <w:t>Type entiteit</w:t>
            </w:r>
          </w:p>
        </w:tc>
        <w:tc>
          <w:tcPr>
            <w:tcW w:type="dxa" w:w="6192"/>
          </w:tcPr>
          <w:p>
            <w:r>
              <w:rPr>
                <w:sz w:val="18"/>
              </w:rPr>
              <w:t>[Kredietinstelling / betaalinstelling / beleggingsonderneming / verzekeraar / …]</w:t>
            </w:r>
          </w:p>
        </w:tc>
      </w:tr>
      <w:tr>
        <w:tc>
          <w:tcPr>
            <w:tcW w:type="dxa" w:w="3168"/>
            <w:shd w:val="clear" w:fill="EEF2F4"/>
          </w:tcPr>
          <w:p>
            <w:r>
              <w:rPr>
                <w:b/>
                <w:sz w:val="18"/>
              </w:rPr>
              <w:t>Bevoegde autoriteit</w:t>
            </w:r>
          </w:p>
        </w:tc>
        <w:tc>
          <w:tcPr>
            <w:tcW w:type="dxa" w:w="6192"/>
          </w:tcPr>
          <w:p>
            <w:r>
              <w:rPr>
                <w:sz w:val="18"/>
              </w:rPr>
              <w:t>[DNB / AFM / BaFin / CBI / Finanstilsynet / …]</w:t>
            </w:r>
          </w:p>
        </w:tc>
      </w:tr>
      <w:tr>
        <w:tc>
          <w:tcPr>
            <w:tcW w:type="dxa" w:w="3168"/>
            <w:shd w:val="clear" w:fill="EEF2F4"/>
          </w:tcPr>
          <w:p>
            <w:r>
              <w:rPr>
                <w:b/>
                <w:sz w:val="18"/>
              </w:rPr>
              <w:t>Eigenaar van de strategie</w:t>
            </w:r>
          </w:p>
        </w:tc>
        <w:tc>
          <w:tcPr>
            <w:tcW w:type="dxa" w:w="6192"/>
          </w:tcPr>
          <w:p>
            <w:r>
              <w:rPr>
                <w:sz w:val="18"/>
              </w:rPr>
              <w:t>[Rol — bijv. Hoofd Third-Party Risk Management]</w:t>
            </w:r>
          </w:p>
        </w:tc>
      </w:tr>
      <w:tr>
        <w:tc>
          <w:tcPr>
            <w:tcW w:type="dxa" w:w="3168"/>
            <w:shd w:val="clear" w:fill="EEF2F4"/>
          </w:tcPr>
          <w:p>
            <w:r>
              <w:rPr>
                <w:b/>
                <w:sz w:val="18"/>
              </w:rPr>
              <w:t>Goedkeurend orgaan</w:t>
            </w:r>
          </w:p>
        </w:tc>
        <w:tc>
          <w:tcPr>
            <w:tcW w:type="dxa" w:w="6192"/>
          </w:tcPr>
          <w:p>
            <w:r>
              <w:rPr>
                <w:sz w:val="18"/>
              </w:rPr>
              <w:t>[Leidinggevend orgaan / comité + datum van goedkeuring]</w:t>
            </w:r>
          </w:p>
        </w:tc>
      </w:tr>
      <w:tr>
        <w:tc>
          <w:tcPr>
            <w:tcW w:type="dxa" w:w="3168"/>
            <w:shd w:val="clear" w:fill="EEF2F4"/>
          </w:tcPr>
          <w:p>
            <w:r>
              <w:rPr>
                <w:b/>
                <w:sz w:val="18"/>
              </w:rPr>
              <w:t>Overeenkomsten binnen scope</w:t>
            </w:r>
          </w:p>
        </w:tc>
        <w:tc>
          <w:tcPr>
            <w:tcW w:type="dxa" w:w="6192"/>
          </w:tcPr>
          <w:p>
            <w:r>
              <w:rPr>
                <w:sz w:val="18"/>
              </w:rPr>
              <w:t>[Lijst van contractreferenties die kritieke of belangrijke functies ondersteunen — gekoppeld aan het informatieregister]</w:t>
            </w:r>
          </w:p>
        </w:tc>
      </w:tr>
      <w:tr>
        <w:tc>
          <w:tcPr>
            <w:tcW w:type="dxa" w:w="3168"/>
            <w:shd w:val="clear" w:fill="EEF2F4"/>
          </w:tcPr>
          <w:p>
            <w:r>
              <w:rPr>
                <w:b/>
                <w:sz w:val="18"/>
              </w:rPr>
              <w:t>Evaluatiecadans</w:t>
            </w:r>
          </w:p>
        </w:tc>
        <w:tc>
          <w:tcPr>
            <w:tcW w:type="dxa" w:w="6192"/>
          </w:tcPr>
          <w:p>
            <w:r>
              <w:rPr>
                <w:sz w:val="18"/>
              </w:rPr>
              <w:t>[Ten minste jaarlijks + bij materiële wijziging; datum volgende evaluatie]</w:t>
            </w:r>
          </w:p>
        </w:tc>
      </w:tr>
    </w:tbl>
    <w:p/>
    <w:p>
      <w:pPr>
        <w:pStyle w:val="Heading2"/>
      </w:pPr>
      <w:r>
        <w:rPr>
          <w:color w:val="0A2733"/>
        </w:rPr>
        <w:t>A.2 Risicoscenario's (art. 28, lid 8)</w:t>
      </w:r>
    </w:p>
    <w:p>
      <w:r>
        <w:rPr>
          <w:b w:val="0"/>
          <w:i w:val="0"/>
          <w:sz w:val="18"/>
        </w:rPr>
        <w:t>De exitstrategie moet ten minste rekening houden met:</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Scenario 1 — Falen van de aanbieder</w:t>
            </w:r>
          </w:p>
        </w:tc>
        <w:tc>
          <w:tcPr>
            <w:tcW w:type="dxa" w:w="6192"/>
          </w:tcPr>
          <w:p>
            <w:r>
              <w:rPr>
                <w:sz w:val="18"/>
              </w:rPr>
              <w:t>[Insolventie, afwikkeling, plotselinge staking van de ICT-derde aanbieder]</w:t>
            </w:r>
          </w:p>
        </w:tc>
      </w:tr>
      <w:tr>
        <w:tc>
          <w:tcPr>
            <w:tcW w:type="dxa" w:w="3168"/>
            <w:shd w:val="clear" w:fill="EEF2F4"/>
          </w:tcPr>
          <w:p>
            <w:r>
              <w:rPr>
                <w:b/>
                <w:sz w:val="18"/>
              </w:rPr>
              <w:t>Scenario 2 — Kwaliteitsverslechtering</w:t>
            </w:r>
          </w:p>
        </w:tc>
        <w:tc>
          <w:tcPr>
            <w:tcW w:type="dxa" w:w="6192"/>
          </w:tcPr>
          <w:p>
            <w:r>
              <w:rPr>
                <w:sz w:val="18"/>
              </w:rPr>
              <w:t>[Aanhoudende verslechtering van de geleverde ICT-diensten ten opzichte van de afgesproken serviceniveaus]</w:t>
            </w:r>
          </w:p>
        </w:tc>
      </w:tr>
      <w:tr>
        <w:tc>
          <w:tcPr>
            <w:tcW w:type="dxa" w:w="3168"/>
            <w:shd w:val="clear" w:fill="EEF2F4"/>
          </w:tcPr>
          <w:p>
            <w:r>
              <w:rPr>
                <w:b/>
                <w:sz w:val="18"/>
              </w:rPr>
              <w:t>Scenario 3 — Bedrijfsverstoring</w:t>
            </w:r>
          </w:p>
        </w:tc>
        <w:tc>
          <w:tcPr>
            <w:tcW w:type="dxa" w:w="6192"/>
          </w:tcPr>
          <w:p>
            <w:r>
              <w:rPr>
                <w:sz w:val="18"/>
              </w:rPr>
              <w:t>[Verstoring door ongeschikte of gebrekkige levering van ICT-diensten]</w:t>
            </w:r>
          </w:p>
        </w:tc>
      </w:tr>
      <w:tr>
        <w:tc>
          <w:tcPr>
            <w:tcW w:type="dxa" w:w="3168"/>
            <w:shd w:val="clear" w:fill="EEF2F4"/>
          </w:tcPr>
          <w:p>
            <w:r>
              <w:rPr>
                <w:b/>
                <w:sz w:val="18"/>
              </w:rPr>
              <w:t>Scenario 4 — Materieel inzetrisico</w:t>
            </w:r>
          </w:p>
        </w:tc>
        <w:tc>
          <w:tcPr>
            <w:tcW w:type="dxa" w:w="6192"/>
          </w:tcPr>
          <w:p>
            <w:r>
              <w:rPr>
                <w:sz w:val="18"/>
              </w:rPr>
              <w:t>[Materieel risico voor de passende en continue inzet van de ICT-dienst — bijv. instabiliteit in de onderaannemingsketen, geopolitiek risico of risico op juridische toegang]</w:t>
            </w:r>
          </w:p>
        </w:tc>
      </w:tr>
      <w:tr>
        <w:tc>
          <w:tcPr>
            <w:tcW w:type="dxa" w:w="3168"/>
            <w:shd w:val="clear" w:fill="EEF2F4"/>
          </w:tcPr>
          <w:p>
            <w:r>
              <w:rPr>
                <w:b/>
                <w:sz w:val="18"/>
              </w:rPr>
              <w:t>Scenario 5 — Beëindiging onder art. 28, lid 7</w:t>
            </w:r>
          </w:p>
        </w:tc>
        <w:tc>
          <w:tcPr>
            <w:tcW w:type="dxa" w:w="6192"/>
          </w:tcPr>
          <w:p>
            <w:r>
              <w:rPr>
                <w:sz w:val="18"/>
              </w:rPr>
              <w:t>[(a) significante inbreuk op wetgeving of contract; (b) monitoringbevindingen die de dienstverlening kunnen veranderen; (c) aangetoonde zwaktes in het algehele ICT-risicobeheer van de aanbieder, incl. beschikbaarheid, authenticiteit, integriteit en vertrouwelijkheid van gegevens; (d) de bevoegde autoriteit kan geen effectief toezicht meer houden op de entiteit]</w:t>
            </w:r>
          </w:p>
        </w:tc>
      </w:tr>
    </w:tbl>
    <w:p/>
    <w:p>
      <w:pPr>
        <w:pStyle w:val="Heading2"/>
      </w:pPr>
      <w:r>
        <w:rPr>
          <w:color w:val="0A2733"/>
        </w:rPr>
        <w:t>A.3 Beoordelingsmethode voor alternatieven</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Schaal vervangbaarheidsscore</w:t>
            </w:r>
          </w:p>
        </w:tc>
        <w:tc>
          <w:tcPr>
            <w:tcW w:type="dxa" w:w="6192"/>
          </w:tcPr>
          <w:p>
            <w:r>
              <w:rPr>
                <w:sz w:val="18"/>
              </w:rPr>
              <w:t>[bijv. eenvoudig vervangbaar / vervangbaar met inspanning / moeilijk / niet vervangbaar — afstemmen op uw RoI B_07-beoordelingen]</w:t>
            </w:r>
          </w:p>
        </w:tc>
      </w:tr>
      <w:tr>
        <w:tc>
          <w:tcPr>
            <w:tcW w:type="dxa" w:w="3168"/>
            <w:shd w:val="clear" w:fill="EEF2F4"/>
          </w:tcPr>
          <w:p>
            <w:r>
              <w:rPr>
                <w:b/>
                <w:sz w:val="18"/>
              </w:rPr>
              <w:t>Cadans marktscan</w:t>
            </w:r>
          </w:p>
        </w:tc>
        <w:tc>
          <w:tcPr>
            <w:tcW w:type="dxa" w:w="6192"/>
          </w:tcPr>
          <w:p>
            <w:r>
              <w:rPr>
                <w:sz w:val="18"/>
              </w:rPr>
              <w:t>[Hoe vaak alternatieve aanbieders per dienstcategorie worden herbeoordeeld]</w:t>
            </w:r>
          </w:p>
        </w:tc>
      </w:tr>
      <w:tr>
        <w:tc>
          <w:tcPr>
            <w:tcW w:type="dxa" w:w="3168"/>
            <w:shd w:val="clear" w:fill="EEF2F4"/>
          </w:tcPr>
          <w:p>
            <w:r>
              <w:rPr>
                <w:b/>
                <w:sz w:val="18"/>
              </w:rPr>
              <w:t>Beleid interne optie</w:t>
            </w:r>
          </w:p>
        </w:tc>
        <w:tc>
          <w:tcPr>
            <w:tcW w:type="dxa" w:w="6192"/>
          </w:tcPr>
          <w:p>
            <w:r>
              <w:rPr>
                <w:sz w:val="18"/>
              </w:rPr>
              <w:t>[Wanneer reïntegratie in de eigen organisatie als haalbaar geldt; capaciteitsaannames]</w:t>
            </w:r>
          </w:p>
        </w:tc>
      </w:tr>
      <w:tr>
        <w:tc>
          <w:tcPr>
            <w:tcW w:type="dxa" w:w="3168"/>
            <w:shd w:val="clear" w:fill="EEF2F4"/>
          </w:tcPr>
          <w:p>
            <w:r>
              <w:rPr>
                <w:b/>
                <w:sz w:val="18"/>
              </w:rPr>
              <w:t>Koppeling concentratierisico</w:t>
            </w:r>
          </w:p>
        </w:tc>
        <w:tc>
          <w:tcPr>
            <w:tcW w:type="dxa" w:w="6192"/>
          </w:tcPr>
          <w:p>
            <w:r>
              <w:rPr>
                <w:sz w:val="18"/>
              </w:rPr>
              <w:t>[Hoe afhankelijkheden van één aanbieder of één onderaannemer over meerdere overeenkomsten heen worden meegewogen]</w:t>
            </w:r>
          </w:p>
        </w:tc>
      </w:tr>
    </w:tbl>
    <w:p/>
    <w:p>
      <w:r/>
    </w:p>
    <w:p>
      <w:pPr>
        <w:pStyle w:val="Heading1"/>
      </w:pPr>
      <w:r>
        <w:rPr>
          <w:color w:val="0A2733"/>
        </w:rPr>
        <w:t>Deel B — Exitplan (één per overeenkomst)</w:t>
      </w:r>
    </w:p>
    <w:p>
      <w:r>
        <w:rPr>
          <w:b w:val="0"/>
          <w:i/>
          <w:sz w:val="18"/>
        </w:rPr>
        <w:t>Vul één Deel B in per contractuele overeenkomst die een kritieke of belangrijke functie ondersteunt.</w:t>
      </w:r>
    </w:p>
    <w:p>
      <w:pPr>
        <w:pStyle w:val="Heading2"/>
      </w:pPr>
      <w:r>
        <w:rPr>
          <w:color w:val="0A2733"/>
        </w:rPr>
        <w:t>B.1 Identificatie</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Contractreferentie (RoI-sleutel)</w:t>
            </w:r>
          </w:p>
        </w:tc>
        <w:tc>
          <w:tcPr>
            <w:tcW w:type="dxa" w:w="6192"/>
          </w:tcPr>
          <w:p>
            <w:r>
              <w:rPr>
                <w:sz w:val="18"/>
              </w:rPr>
              <w:t>[bijv. CTR-2024-018 — moet overeenkomen met het informatieregister]</w:t>
            </w:r>
          </w:p>
        </w:tc>
      </w:tr>
      <w:tr>
        <w:tc>
          <w:tcPr>
            <w:tcW w:type="dxa" w:w="3168"/>
            <w:shd w:val="clear" w:fill="EEF2F4"/>
          </w:tcPr>
          <w:p>
            <w:r>
              <w:rPr>
                <w:b/>
                <w:sz w:val="18"/>
              </w:rPr>
              <w:t>ICT-derde aanbieder</w:t>
            </w:r>
          </w:p>
        </w:tc>
        <w:tc>
          <w:tcPr>
            <w:tcW w:type="dxa" w:w="6192"/>
          </w:tcPr>
          <w:p>
            <w:r>
              <w:rPr>
                <w:sz w:val="18"/>
              </w:rPr>
              <w:t>[Juridische naam · LEI/EUID]</w:t>
            </w:r>
          </w:p>
        </w:tc>
      </w:tr>
      <w:tr>
        <w:tc>
          <w:tcPr>
            <w:tcW w:type="dxa" w:w="3168"/>
            <w:shd w:val="clear" w:fill="EEF2F4"/>
          </w:tcPr>
          <w:p>
            <w:r>
              <w:rPr>
                <w:b/>
                <w:sz w:val="18"/>
              </w:rPr>
              <w:t>ICT-dienst</w:t>
            </w:r>
          </w:p>
        </w:tc>
        <w:tc>
          <w:tcPr>
            <w:tcW w:type="dxa" w:w="6192"/>
          </w:tcPr>
          <w:p>
            <w:r>
              <w:rPr>
                <w:sz w:val="18"/>
              </w:rPr>
              <w:t>[Dienstbeschrijving + type (S01–S19-taxonomiecode)]</w:t>
            </w:r>
          </w:p>
        </w:tc>
      </w:tr>
      <w:tr>
        <w:tc>
          <w:tcPr>
            <w:tcW w:type="dxa" w:w="3168"/>
            <w:shd w:val="clear" w:fill="EEF2F4"/>
          </w:tcPr>
          <w:p>
            <w:r>
              <w:rPr>
                <w:b/>
                <w:sz w:val="18"/>
              </w:rPr>
              <w:t>Ondersteunde kritieke/belangrijke functie</w:t>
            </w:r>
          </w:p>
        </w:tc>
        <w:tc>
          <w:tcPr>
            <w:tcW w:type="dxa" w:w="6192"/>
          </w:tcPr>
          <w:p>
            <w:r>
              <w:rPr>
                <w:sz w:val="18"/>
              </w:rPr>
              <w:t>[Functienaam + verwijzing naar de criticaliteitsredenering onder art. 3, punt 22]</w:t>
            </w:r>
          </w:p>
        </w:tc>
      </w:tr>
      <w:tr>
        <w:tc>
          <w:tcPr>
            <w:tcW w:type="dxa" w:w="3168"/>
            <w:shd w:val="clear" w:fill="EEF2F4"/>
          </w:tcPr>
          <w:p>
            <w:r>
              <w:rPr>
                <w:b/>
                <w:sz w:val="18"/>
              </w:rPr>
              <w:t>Planeigenaar</w:t>
            </w:r>
          </w:p>
        </w:tc>
        <w:tc>
          <w:tcPr>
            <w:tcW w:type="dxa" w:w="6192"/>
          </w:tcPr>
          <w:p>
            <w:r>
              <w:rPr>
                <w:sz w:val="18"/>
              </w:rPr>
              <w:t>[Rol]</w:t>
            </w:r>
          </w:p>
        </w:tc>
      </w:tr>
      <w:tr>
        <w:tc>
          <w:tcPr>
            <w:tcW w:type="dxa" w:w="3168"/>
            <w:shd w:val="clear" w:fill="EEF2F4"/>
          </w:tcPr>
          <w:p>
            <w:r>
              <w:rPr>
                <w:b/>
                <w:sz w:val="18"/>
              </w:rPr>
              <w:t>Beslisser voor activering</w:t>
            </w:r>
          </w:p>
        </w:tc>
        <w:tc>
          <w:tcPr>
            <w:tcW w:type="dxa" w:w="6192"/>
          </w:tcPr>
          <w:p>
            <w:r>
              <w:rPr>
                <w:sz w:val="18"/>
              </w:rPr>
              <w:t>[Rol / comité bevoegd om de exit te activeren]</w:t>
            </w:r>
          </w:p>
        </w:tc>
      </w:tr>
      <w:tr>
        <w:tc>
          <w:tcPr>
            <w:tcW w:type="dxa" w:w="3168"/>
            <w:shd w:val="clear" w:fill="EEF2F4"/>
          </w:tcPr>
          <w:p>
            <w:r>
              <w:rPr>
                <w:b/>
                <w:sz w:val="18"/>
              </w:rPr>
              <w:t>Planversie · datum</w:t>
            </w:r>
          </w:p>
        </w:tc>
        <w:tc>
          <w:tcPr>
            <w:tcW w:type="dxa" w:w="6192"/>
          </w:tcPr>
          <w:p>
            <w:r>
              <w:rPr>
                <w:sz w:val="18"/>
              </w:rPr>
              <w:t>[v · JJJJ-MM-DD]</w:t>
            </w:r>
          </w:p>
        </w:tc>
      </w:tr>
    </w:tbl>
    <w:p/>
    <w:p>
      <w:pPr>
        <w:pStyle w:val="Heading2"/>
      </w:pPr>
      <w:r>
        <w:rPr>
          <w:color w:val="0A2733"/>
        </w:rPr>
        <w:t>B.2 Exittriggers</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Geplande (niet-gedwongen) triggers</w:t>
            </w:r>
          </w:p>
        </w:tc>
        <w:tc>
          <w:tcPr>
            <w:tcW w:type="dxa" w:w="6192"/>
          </w:tcPr>
          <w:p>
            <w:r>
              <w:rPr>
                <w:sz w:val="18"/>
              </w:rPr>
              <w:t>[Mislukte commerciële heronderhandeling, strategische insourcing, strategiewijziging van de aanbieder, contracteinde …]</w:t>
            </w:r>
          </w:p>
        </w:tc>
      </w:tr>
      <w:tr>
        <w:tc>
          <w:tcPr>
            <w:tcW w:type="dxa" w:w="3168"/>
            <w:shd w:val="clear" w:fill="EEF2F4"/>
          </w:tcPr>
          <w:p>
            <w:r>
              <w:rPr>
                <w:b/>
                <w:sz w:val="18"/>
              </w:rPr>
              <w:t>Gedwongen triggers</w:t>
            </w:r>
          </w:p>
        </w:tc>
        <w:tc>
          <w:tcPr>
            <w:tcW w:type="dxa" w:w="6192"/>
          </w:tcPr>
          <w:p>
            <w:r>
              <w:rPr>
                <w:sz w:val="18"/>
              </w:rPr>
              <w:t>[Insolventie/falen van de aanbieder; art. 28(7)(a) significante inbreuk; 28(7)(b) monitoringbevindingen; 28(7)(c) aangetoonde ICT-risicozwaktes; 28(7)(d) toezichtbaarheid; CTPP-toezichtsaanbeveling]</w:t>
            </w:r>
          </w:p>
        </w:tc>
      </w:tr>
      <w:tr>
        <w:tc>
          <w:tcPr>
            <w:tcW w:type="dxa" w:w="3168"/>
            <w:shd w:val="clear" w:fill="EEF2F4"/>
          </w:tcPr>
          <w:p>
            <w:r>
              <w:rPr>
                <w:b/>
                <w:sz w:val="18"/>
              </w:rPr>
              <w:t>Triggerindicatoren / KRI's</w:t>
            </w:r>
          </w:p>
        </w:tc>
        <w:tc>
          <w:tcPr>
            <w:tcW w:type="dxa" w:w="6192"/>
          </w:tcPr>
          <w:p>
            <w:r>
              <w:rPr>
                <w:sz w:val="18"/>
              </w:rPr>
              <w:t>[De monitoringsignalen die elke trigger zichtbaar maken — aantal SLA-schendingen, incidentfrequentie, signalen over financiële gezondheid]</w:t>
            </w:r>
          </w:p>
        </w:tc>
      </w:tr>
    </w:tbl>
    <w:p/>
    <w:p>
      <w:pPr>
        <w:pStyle w:val="Heading2"/>
      </w:pPr>
      <w:r>
        <w:rPr>
          <w:color w:val="0A2733"/>
        </w:rPr>
        <w:t>B.3 Alternatieve oplossing</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Beoordeelde alternatieve aanbieder(s)</w:t>
            </w:r>
          </w:p>
        </w:tc>
        <w:tc>
          <w:tcPr>
            <w:tcW w:type="dxa" w:w="6192"/>
          </w:tcPr>
          <w:p>
            <w:r>
              <w:rPr>
                <w:sz w:val="18"/>
              </w:rPr>
              <w:t>[Namen + beoordelingsdatum + resultaat]</w:t>
            </w:r>
          </w:p>
        </w:tc>
      </w:tr>
      <w:tr>
        <w:tc>
          <w:tcPr>
            <w:tcW w:type="dxa" w:w="3168"/>
            <w:shd w:val="clear" w:fill="EEF2F4"/>
          </w:tcPr>
          <w:p>
            <w:r>
              <w:rPr>
                <w:b/>
                <w:sz w:val="18"/>
              </w:rPr>
              <w:t>Interne optie</w:t>
            </w:r>
          </w:p>
        </w:tc>
        <w:tc>
          <w:tcPr>
            <w:tcW w:type="dxa" w:w="6192"/>
          </w:tcPr>
          <w:p>
            <w:r>
              <w:rPr>
                <w:sz w:val="18"/>
              </w:rPr>
              <w:t>[Haalbaar? Capaciteit, doorlooptijd, kosten]</w:t>
            </w:r>
          </w:p>
        </w:tc>
      </w:tr>
      <w:tr>
        <w:tc>
          <w:tcPr>
            <w:tcW w:type="dxa" w:w="3168"/>
            <w:shd w:val="clear" w:fill="EEF2F4"/>
          </w:tcPr>
          <w:p>
            <w:r>
              <w:rPr>
                <w:b/>
                <w:sz w:val="18"/>
              </w:rPr>
              <w:t>Gekozen exitroute</w:t>
            </w:r>
          </w:p>
        </w:tc>
        <w:tc>
          <w:tcPr>
            <w:tcW w:type="dxa" w:w="6192"/>
          </w:tcPr>
          <w:p>
            <w:r>
              <w:rPr>
                <w:sz w:val="18"/>
              </w:rPr>
              <w:t>[Alternatieve aanbieder X / eigen organisatie / hybride]</w:t>
            </w:r>
          </w:p>
        </w:tc>
      </w:tr>
      <w:tr>
        <w:tc>
          <w:tcPr>
            <w:tcW w:type="dxa" w:w="3168"/>
            <w:shd w:val="clear" w:fill="EEF2F4"/>
          </w:tcPr>
          <w:p>
            <w:r>
              <w:rPr>
                <w:b/>
                <w:sz w:val="18"/>
              </w:rPr>
              <w:t>Vervangbaarheidsscore</w:t>
            </w:r>
          </w:p>
        </w:tc>
        <w:tc>
          <w:tcPr>
            <w:tcW w:type="dxa" w:w="6192"/>
          </w:tcPr>
          <w:p>
            <w:r>
              <w:rPr>
                <w:sz w:val="18"/>
              </w:rPr>
              <w:t>[Volgens de schaal van A.3]</w:t>
            </w:r>
          </w:p>
        </w:tc>
      </w:tr>
    </w:tbl>
    <w:p/>
    <w:p>
      <w:pPr>
        <w:pStyle w:val="Heading2"/>
      </w:pPr>
      <w:r>
        <w:rPr>
          <w:color w:val="0A2733"/>
        </w:rPr>
        <w:t>B.4 Transitieplan</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Fasen &amp; planning</w:t>
            </w:r>
          </w:p>
        </w:tc>
        <w:tc>
          <w:tcPr>
            <w:tcW w:type="dxa" w:w="6192"/>
          </w:tcPr>
          <w:p>
            <w:r>
              <w:rPr>
                <w:sz w:val="18"/>
              </w:rPr>
              <w:t>[Fase 1 voorbereiding (…wkn) → Fase 2 datamigratie (…wkn) → Fase 3 parallelrun (…wkn) → Fase 4 cutover → Fase 5 ontmanteling &amp; gegevensverwijdering]</w:t>
            </w:r>
          </w:p>
        </w:tc>
      </w:tr>
      <w:tr>
        <w:tc>
          <w:tcPr>
            <w:tcW w:type="dxa" w:w="3168"/>
            <w:shd w:val="clear" w:fill="EEF2F4"/>
          </w:tcPr>
          <w:p>
            <w:r>
              <w:rPr>
                <w:b/>
                <w:sz w:val="18"/>
              </w:rPr>
              <w:t>Datainventaris &amp; teruggaveformaat</w:t>
            </w:r>
          </w:p>
        </w:tc>
        <w:tc>
          <w:tcPr>
            <w:tcW w:type="dxa" w:w="6192"/>
          </w:tcPr>
          <w:p>
            <w:r>
              <w:rPr>
                <w:sz w:val="18"/>
              </w:rPr>
              <w:t>[Datasets die de aanbieder houdt; afgesproken exportformaat/-formaten; volume]</w:t>
            </w:r>
          </w:p>
        </w:tc>
      </w:tr>
      <w:tr>
        <w:tc>
          <w:tcPr>
            <w:tcW w:type="dxa" w:w="3168"/>
            <w:shd w:val="clear" w:fill="EEF2F4"/>
          </w:tcPr>
          <w:p>
            <w:r>
              <w:rPr>
                <w:b/>
                <w:sz w:val="18"/>
              </w:rPr>
              <w:t>Veilige overdrachtsmethode</w:t>
            </w:r>
          </w:p>
        </w:tc>
        <w:tc>
          <w:tcPr>
            <w:tcW w:type="dxa" w:w="6192"/>
          </w:tcPr>
          <w:p>
            <w:r>
              <w:rPr>
                <w:sz w:val="18"/>
              </w:rPr>
              <w:t>[Mechanisme, encryptie onderweg, integriteitsverificatie van de overgedragen gegevens]</w:t>
            </w:r>
          </w:p>
        </w:tc>
      </w:tr>
      <w:tr>
        <w:tc>
          <w:tcPr>
            <w:tcW w:type="dxa" w:w="3168"/>
            <w:shd w:val="clear" w:fill="EEF2F4"/>
          </w:tcPr>
          <w:p>
            <w:r>
              <w:rPr>
                <w:b/>
                <w:sz w:val="18"/>
              </w:rPr>
              <w:t>Parallelrunvenster</w:t>
            </w:r>
          </w:p>
        </w:tc>
        <w:tc>
          <w:tcPr>
            <w:tcW w:type="dxa" w:w="6192"/>
          </w:tcPr>
          <w:p>
            <w:r>
              <w:rPr>
                <w:sz w:val="18"/>
              </w:rPr>
              <w:t>[Duur + succescriteria]</w:t>
            </w:r>
          </w:p>
        </w:tc>
      </w:tr>
      <w:tr>
        <w:tc>
          <w:tcPr>
            <w:tcW w:type="dxa" w:w="3168"/>
            <w:shd w:val="clear" w:fill="EEF2F4"/>
          </w:tcPr>
          <w:p>
            <w:r>
              <w:rPr>
                <w:b/>
                <w:sz w:val="18"/>
              </w:rPr>
              <w:t>Rollbackcriteria</w:t>
            </w:r>
          </w:p>
        </w:tc>
        <w:tc>
          <w:tcPr>
            <w:tcW w:type="dxa" w:w="6192"/>
          </w:tcPr>
          <w:p>
            <w:r>
              <w:rPr>
                <w:sz w:val="18"/>
              </w:rPr>
              <w:t>[Voorwaarden waaronder de cutover wordt teruggedraaid]</w:t>
            </w:r>
          </w:p>
        </w:tc>
      </w:tr>
      <w:tr>
        <w:tc>
          <w:tcPr>
            <w:tcW w:type="dxa" w:w="3168"/>
            <w:shd w:val="clear" w:fill="EEF2F4"/>
          </w:tcPr>
          <w:p>
            <w:r>
              <w:rPr>
                <w:b/>
                <w:sz w:val="18"/>
              </w:rPr>
              <w:t>Verificatie &amp; afsluiting</w:t>
            </w:r>
          </w:p>
        </w:tc>
        <w:tc>
          <w:tcPr>
            <w:tcW w:type="dxa" w:w="6192"/>
          </w:tcPr>
          <w:p>
            <w:r>
              <w:rPr>
                <w:sz w:val="18"/>
              </w:rPr>
              <w:t>[Verwijderingsbevestiging van de aanbieder; intrekken van toegang; RoI-update]</w:t>
            </w:r>
          </w:p>
        </w:tc>
      </w:tr>
    </w:tbl>
    <w:p/>
    <w:p>
      <w:pPr>
        <w:pStyle w:val="Heading2"/>
      </w:pPr>
      <w:r>
        <w:rPr>
          <w:color w:val="0A2733"/>
        </w:rPr>
        <w:t>B.5 Contractuele ankers</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Transitieperiode (art. 30, lid 3, onder f))</w:t>
            </w:r>
          </w:p>
        </w:tc>
        <w:tc>
          <w:tcPr>
            <w:tcW w:type="dxa" w:w="6192"/>
          </w:tcPr>
          <w:p>
            <w:r>
              <w:rPr>
                <w:sz w:val="18"/>
              </w:rPr>
              <w:t>[Verplichte toereikende transitieperiode zoals afgesproken in het contract — de planning van het plan MOET erin passen]</w:t>
            </w:r>
          </w:p>
        </w:tc>
      </w:tr>
      <w:tr>
        <w:tc>
          <w:tcPr>
            <w:tcW w:type="dxa" w:w="3168"/>
            <w:shd w:val="clear" w:fill="EEF2F4"/>
          </w:tcPr>
          <w:p>
            <w:r>
              <w:rPr>
                <w:b/>
                <w:sz w:val="18"/>
              </w:rPr>
              <w:t>Opzegtermijnen</w:t>
            </w:r>
          </w:p>
        </w:tc>
        <w:tc>
          <w:tcPr>
            <w:tcW w:type="dxa" w:w="6192"/>
          </w:tcPr>
          <w:p>
            <w:r>
              <w:rPr>
                <w:sz w:val="18"/>
              </w:rPr>
              <w:t>[Entiteit: … dagen · Aanbieder: … dagen]</w:t>
            </w:r>
          </w:p>
        </w:tc>
      </w:tr>
      <w:tr>
        <w:tc>
          <w:tcPr>
            <w:tcW w:type="dxa" w:w="3168"/>
            <w:shd w:val="clear" w:fill="EEF2F4"/>
          </w:tcPr>
          <w:p>
            <w:r>
              <w:rPr>
                <w:b/>
                <w:sz w:val="18"/>
              </w:rPr>
              <w:t>Clausules teruggave &amp; verwijdering van gegevens</w:t>
            </w:r>
          </w:p>
        </w:tc>
        <w:tc>
          <w:tcPr>
            <w:tcW w:type="dxa" w:w="6192"/>
          </w:tcPr>
          <w:p>
            <w:r>
              <w:rPr>
                <w:sz w:val="18"/>
              </w:rPr>
              <w:t>[Clausuleverwijzingen + gegarandeerde formaten]</w:t>
            </w:r>
          </w:p>
        </w:tc>
      </w:tr>
      <w:tr>
        <w:tc>
          <w:tcPr>
            <w:tcW w:type="dxa" w:w="3168"/>
            <w:shd w:val="clear" w:fill="EEF2F4"/>
          </w:tcPr>
          <w:p>
            <w:r>
              <w:rPr>
                <w:b/>
                <w:sz w:val="18"/>
              </w:rPr>
              <w:t>Transitieondersteuning</w:t>
            </w:r>
          </w:p>
        </w:tc>
        <w:tc>
          <w:tcPr>
            <w:tcW w:type="dxa" w:w="6192"/>
          </w:tcPr>
          <w:p>
            <w:r>
              <w:rPr>
                <w:sz w:val="18"/>
              </w:rPr>
              <w:t>[Verplichtingen van de aanbieder om de migratie te ondersteunen, incl. kosten]</w:t>
            </w:r>
          </w:p>
        </w:tc>
      </w:tr>
      <w:tr>
        <w:tc>
          <w:tcPr>
            <w:tcW w:type="dxa" w:w="3168"/>
            <w:shd w:val="clear" w:fill="EEF2F4"/>
          </w:tcPr>
          <w:p>
            <w:r>
              <w:rPr>
                <w:b/>
                <w:sz w:val="18"/>
              </w:rPr>
              <w:t>Controle planning-past-in-venster</w:t>
            </w:r>
          </w:p>
        </w:tc>
        <w:tc>
          <w:tcPr>
            <w:tcW w:type="dxa" w:w="6192"/>
          </w:tcPr>
          <w:p>
            <w:r>
              <w:rPr>
                <w:sz w:val="18"/>
              </w:rPr>
              <w:t>[Past de B.4-planning binnen de transitieperiode? JA / NEE — bij NEE: contractremediëringspunt]</w:t>
            </w:r>
          </w:p>
        </w:tc>
      </w:tr>
    </w:tbl>
    <w:p/>
    <w:p>
      <w:pPr>
        <w:pStyle w:val="Heading2"/>
      </w:pPr>
      <w:r>
        <w:rPr>
          <w:color w:val="0A2733"/>
        </w:rPr>
        <w:t>B.6 Noodmaatregelen</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Tijdelijke continuïteitsmaatregelen</w:t>
            </w:r>
          </w:p>
        </w:tc>
        <w:tc>
          <w:tcPr>
            <w:tcW w:type="dxa" w:w="6192"/>
          </w:tcPr>
          <w:p>
            <w:r>
              <w:rPr>
                <w:sz w:val="18"/>
              </w:rPr>
              <w:t>[Hoe de functie blijft draaien tijdens de exit — procedures in degraded mode, tijdelijke capaciteit, handmatige workarounds (art. 28, lid 8, laatste alinea)]</w:t>
            </w:r>
          </w:p>
        </w:tc>
      </w:tr>
      <w:tr>
        <w:tc>
          <w:tcPr>
            <w:tcW w:type="dxa" w:w="3168"/>
            <w:shd w:val="clear" w:fill="EEF2F4"/>
          </w:tcPr>
          <w:p>
            <w:r>
              <w:rPr>
                <w:b/>
                <w:sz w:val="18"/>
              </w:rPr>
              <w:t>Beperking klantimpact</w:t>
            </w:r>
          </w:p>
        </w:tc>
        <w:tc>
          <w:tcPr>
            <w:tcW w:type="dxa" w:w="6192"/>
          </w:tcPr>
          <w:p>
            <w:r>
              <w:rPr>
                <w:sz w:val="18"/>
              </w:rPr>
              <w:t>[Hoe de continuïteit en kwaliteit van de dienstverlening aan klanten tijdens de transitie worden beschermd]</w:t>
            </w:r>
          </w:p>
        </w:tc>
      </w:tr>
      <w:tr>
        <w:tc>
          <w:tcPr>
            <w:tcW w:type="dxa" w:w="3168"/>
            <w:shd w:val="clear" w:fill="EEF2F4"/>
          </w:tcPr>
          <w:p>
            <w:r>
              <w:rPr>
                <w:b/>
                <w:sz w:val="18"/>
              </w:rPr>
              <w:t>Waarborgen regelgevingsnaleving</w:t>
            </w:r>
          </w:p>
        </w:tc>
        <w:tc>
          <w:tcPr>
            <w:tcW w:type="dxa" w:w="6192"/>
          </w:tcPr>
          <w:p>
            <w:r>
              <w:rPr>
                <w:sz w:val="18"/>
              </w:rPr>
              <w:t>[Rapportageverplichtingen, continuïteit van gegevensbescherming, bewaring van gegevens tijdens de migratie]</w:t>
            </w:r>
          </w:p>
        </w:tc>
      </w:tr>
    </w:tbl>
    <w:p/>
    <w:p>
      <w:pPr>
        <w:pStyle w:val="Heading2"/>
      </w:pPr>
      <w:r>
        <w:rPr>
          <w:color w:val="0A2733"/>
        </w:rPr>
        <w:t>B.7 Kosten &amp; capaciteit</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Raming exitkosten</w:t>
            </w:r>
          </w:p>
        </w:tc>
        <w:tc>
          <w:tcPr>
            <w:tcW w:type="dxa" w:w="6192"/>
          </w:tcPr>
          <w:p>
            <w:r>
              <w:rPr>
                <w:sz w:val="18"/>
              </w:rPr>
              <w:t>[Eenmalige migratiekosten + vergoedingen voor transitieondersteuning door de aanbieder]</w:t>
            </w:r>
          </w:p>
        </w:tc>
      </w:tr>
      <w:tr>
        <w:tc>
          <w:tcPr>
            <w:tcW w:type="dxa" w:w="3168"/>
            <w:shd w:val="clear" w:fill="EEF2F4"/>
          </w:tcPr>
          <w:p>
            <w:r>
              <w:rPr>
                <w:b/>
                <w:sz w:val="18"/>
              </w:rPr>
              <w:t>Interne capaciteit</w:t>
            </w:r>
          </w:p>
        </w:tc>
        <w:tc>
          <w:tcPr>
            <w:tcW w:type="dxa" w:w="6192"/>
          </w:tcPr>
          <w:p>
            <w:r>
              <w:rPr>
                <w:sz w:val="18"/>
              </w:rPr>
              <w:t>[Teams, FTE-weken, afhankelijkheden van sleutelpersonen]</w:t>
            </w:r>
          </w:p>
        </w:tc>
      </w:tr>
      <w:tr>
        <w:tc>
          <w:tcPr>
            <w:tcW w:type="dxa" w:w="3168"/>
            <w:shd w:val="clear" w:fill="EEF2F4"/>
          </w:tcPr>
          <w:p>
            <w:r>
              <w:rPr>
                <w:b/>
                <w:sz w:val="18"/>
              </w:rPr>
              <w:t>Timingbeperkingen</w:t>
            </w:r>
          </w:p>
        </w:tc>
        <w:tc>
          <w:tcPr>
            <w:tcW w:type="dxa" w:w="6192"/>
          </w:tcPr>
          <w:p>
            <w:r>
              <w:rPr>
                <w:sz w:val="18"/>
              </w:rPr>
              <w:t>[Freezeperiodes, regulatoire rapportagevensters, seizoenspieken]</w:t>
            </w:r>
          </w:p>
        </w:tc>
      </w:tr>
    </w:tbl>
    <w:p/>
    <w:p>
      <w:r/>
    </w:p>
    <w:p>
      <w:pPr>
        <w:pStyle w:val="Heading1"/>
      </w:pPr>
      <w:r>
        <w:rPr>
          <w:color w:val="0A2733"/>
        </w:rPr>
        <w:t>Deel C — Test- en evaluatielog voor exitplannen</w:t>
      </w:r>
    </w:p>
    <w:p>
      <w:r>
        <w:rPr>
          <w:b w:val="0"/>
          <w:i/>
          <w:sz w:val="18"/>
        </w:rPr>
        <w:t>Art. 28, lid 8: plannen moeten voldoende getest en periodiek geëvalueerd worden. RTS (EU) 2024/1773, art. 10: tests moeten rekening houden met onvoorziene en aanhoudende dienstonderbrekingen; plannen moeten realistisch en uitvoerbaar zijn, gebaseerd op plausibele scenario's en redelijke aannames.</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shd w:val="clear" w:fill="0A2733"/>
          </w:tcPr>
          <w:p>
            <w:r>
              <w:rPr>
                <w:b/>
                <w:color w:val="FFFFFF"/>
                <w:sz w:val="16"/>
              </w:rPr>
              <w:t>Datum</w:t>
            </w:r>
          </w:p>
        </w:tc>
        <w:tc>
          <w:tcPr>
            <w:tcW w:type="dxa" w:w="1234"/>
            <w:shd w:val="clear" w:fill="0A2733"/>
          </w:tcPr>
          <w:p>
            <w:r>
              <w:rPr>
                <w:b/>
                <w:color w:val="FFFFFF"/>
                <w:sz w:val="16"/>
              </w:rPr>
              <w:t>Contractref.</w:t>
            </w:r>
          </w:p>
        </w:tc>
        <w:tc>
          <w:tcPr>
            <w:tcW w:type="dxa" w:w="1234"/>
            <w:shd w:val="clear" w:fill="0A2733"/>
          </w:tcPr>
          <w:p>
            <w:r>
              <w:rPr>
                <w:b/>
                <w:color w:val="FFFFFF"/>
                <w:sz w:val="16"/>
              </w:rPr>
              <w:t>Getest scenario</w:t>
            </w:r>
          </w:p>
        </w:tc>
        <w:tc>
          <w:tcPr>
            <w:tcW w:type="dxa" w:w="1234"/>
            <w:shd w:val="clear" w:fill="0A2733"/>
          </w:tcPr>
          <w:p>
            <w:r>
              <w:rPr>
                <w:b/>
                <w:color w:val="FFFFFF"/>
                <w:sz w:val="16"/>
              </w:rPr>
              <w:t>Testtype</w:t>
            </w:r>
          </w:p>
        </w:tc>
        <w:tc>
          <w:tcPr>
            <w:tcW w:type="dxa" w:w="1234"/>
            <w:shd w:val="clear" w:fill="0A2733"/>
          </w:tcPr>
          <w:p>
            <w:r>
              <w:rPr>
                <w:b/>
                <w:color w:val="FFFFFF"/>
                <w:sz w:val="16"/>
              </w:rPr>
              <w:t>Deelnemers</w:t>
            </w:r>
          </w:p>
        </w:tc>
        <w:tc>
          <w:tcPr>
            <w:tcW w:type="dxa" w:w="1234"/>
            <w:shd w:val="clear" w:fill="0A2733"/>
          </w:tcPr>
          <w:p>
            <w:r>
              <w:rPr>
                <w:b/>
                <w:color w:val="FFFFFF"/>
                <w:sz w:val="16"/>
              </w:rPr>
              <w:t>Bevindingen</w:t>
            </w:r>
          </w:p>
        </w:tc>
        <w:tc>
          <w:tcPr>
            <w:tcW w:type="dxa" w:w="1234"/>
            <w:shd w:val="clear" w:fill="0A2733"/>
          </w:tcPr>
          <w:p>
            <w:r>
              <w:rPr>
                <w:b/>
                <w:color w:val="FFFFFF"/>
                <w:sz w:val="16"/>
              </w:rPr>
              <w:t>Remediëring · volgende test</w:t>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bl>
    <w:p>
      <w:r>
        <w:rPr>
          <w:b w:val="0"/>
          <w:i w:val="0"/>
          <w:sz w:val="16"/>
        </w:rPr>
      </w:r>
    </w:p>
    <w:p>
      <w:r>
        <w:rPr>
          <w:b w:val="0"/>
          <w:i/>
          <w:sz w:val="16"/>
        </w:rPr>
        <w:t>Testtypen: tabletop / walkthrough · gedeeltelijke data-extractietest · restore-/importverificatie · volledige simulatie. De scenarioset moet ten minste één geval van onvoorziene en één geval van aanhoudende onderbreking bevatten.</w:t>
      </w:r>
    </w:p>
    <w:p>
      <w:r/>
    </w:p>
    <w:p>
      <w:pPr>
        <w:pStyle w:val="Heading1"/>
      </w:pPr>
      <w:r>
        <w:rPr>
          <w:color w:val="0A2733"/>
        </w:rPr>
        <w:t>Deel D — Activeringsdraaiboek (skelet)</w:t>
      </w:r>
    </w:p>
    <w:tbl>
      <w:tblPr>
        <w:tblStyle w:val="TableGrid"/>
        <w:tblW w:type="auto" w:w="0"/>
        <w:jc w:val="left"/>
        <w:tblLook w:firstColumn="1" w:firstRow="1" w:lastColumn="0" w:lastRow="0" w:noHBand="0" w:noVBand="1" w:val="04A0"/>
      </w:tblPr>
      <w:tblGrid>
        <w:gridCol w:w="4320"/>
        <w:gridCol w:w="4320"/>
      </w:tblGrid>
      <w:tr>
        <w:tc>
          <w:tcPr>
            <w:tcW w:type="dxa" w:w="1728"/>
            <w:shd w:val="clear" w:fill="EEF2F4"/>
          </w:tcPr>
          <w:p>
            <w:r>
              <w:rPr>
                <w:b/>
                <w:sz w:val="18"/>
              </w:rPr>
              <w:t>1. Verklaren</w:t>
            </w:r>
          </w:p>
        </w:tc>
        <w:tc>
          <w:tcPr>
            <w:tcW w:type="dxa" w:w="7632"/>
          </w:tcPr>
          <w:p>
            <w:r>
              <w:rPr>
                <w:sz w:val="18"/>
              </w:rPr>
              <w:t>De beslisser voor activering bevestigt de trigger en verklaart de exit (gepland of gedwongen); leg besluit + tijdstip vast.</w:t>
            </w:r>
          </w:p>
        </w:tc>
      </w:tr>
      <w:tr>
        <w:tc>
          <w:tcPr>
            <w:tcW w:type="dxa" w:w="1728"/>
            <w:shd w:val="clear" w:fill="EEF2F4"/>
          </w:tcPr>
          <w:p>
            <w:r>
              <w:rPr>
                <w:b/>
                <w:sz w:val="18"/>
              </w:rPr>
              <w:t>2. Informeren</w:t>
            </w:r>
          </w:p>
        </w:tc>
        <w:tc>
          <w:tcPr>
            <w:tcW w:type="dxa" w:w="7632"/>
          </w:tcPr>
          <w:p>
            <w:r>
              <w:rPr>
                <w:sz w:val="18"/>
              </w:rPr>
              <w:t>Interne belanghebbenden; de aanbieder (volgens contractuele opzegging); de bevoegde autoriteit waar vereist; getroffen klanten volgens het klantcommunicatieplan.</w:t>
            </w:r>
          </w:p>
        </w:tc>
      </w:tr>
      <w:tr>
        <w:tc>
          <w:tcPr>
            <w:tcW w:type="dxa" w:w="1728"/>
            <w:shd w:val="clear" w:fill="EEF2F4"/>
          </w:tcPr>
          <w:p>
            <w:r>
              <w:rPr>
                <w:b/>
                <w:sz w:val="18"/>
              </w:rPr>
              <w:t>3. Bevriezen</w:t>
            </w:r>
          </w:p>
        </w:tc>
        <w:tc>
          <w:tcPr>
            <w:tcW w:type="dxa" w:w="7632"/>
          </w:tcPr>
          <w:p>
            <w:r>
              <w:rPr>
                <w:sz w:val="18"/>
              </w:rPr>
              <w:t>Bevries scopewijzigingen op de overeenkomst; stel de actuele datasnapshot veilig; hervalideer de datainventaris.</w:t>
            </w:r>
          </w:p>
        </w:tc>
      </w:tr>
      <w:tr>
        <w:tc>
          <w:tcPr>
            <w:tcW w:type="dxa" w:w="1728"/>
            <w:shd w:val="clear" w:fill="EEF2F4"/>
          </w:tcPr>
          <w:p>
            <w:r>
              <w:rPr>
                <w:b/>
                <w:sz w:val="18"/>
              </w:rPr>
              <w:t>4. Uitvoeren</w:t>
            </w:r>
          </w:p>
        </w:tc>
        <w:tc>
          <w:tcPr>
            <w:tcW w:type="dxa" w:w="7632"/>
          </w:tcPr>
          <w:p>
            <w:r>
              <w:rPr>
                <w:sz w:val="18"/>
              </w:rPr>
              <w:t>Voer de B.4-transitiefasen uit; bewaak de voortgang tegen de transitieperiode van art. 30, lid 3, onder f); activeer B.6-noodmaatregelen waar nodig.</w:t>
            </w:r>
          </w:p>
        </w:tc>
      </w:tr>
      <w:tr>
        <w:tc>
          <w:tcPr>
            <w:tcW w:type="dxa" w:w="1728"/>
            <w:shd w:val="clear" w:fill="EEF2F4"/>
          </w:tcPr>
          <w:p>
            <w:r>
              <w:rPr>
                <w:b/>
                <w:sz w:val="18"/>
              </w:rPr>
              <w:t>5. Verifiëren</w:t>
            </w:r>
          </w:p>
        </w:tc>
        <w:tc>
          <w:tcPr>
            <w:tcW w:type="dxa" w:w="7632"/>
          </w:tcPr>
          <w:p>
            <w:r>
              <w:rPr>
                <w:sz w:val="18"/>
              </w:rPr>
              <w:t>Bevestig teruggave van gegevens in het afgesproken formaat; verifieer de integriteit; verkrijg de verwijderingsbevestiging van de aanbieder; trek toegang in.</w:t>
            </w:r>
          </w:p>
        </w:tc>
      </w:tr>
      <w:tr>
        <w:tc>
          <w:tcPr>
            <w:tcW w:type="dxa" w:w="1728"/>
            <w:shd w:val="clear" w:fill="EEF2F4"/>
          </w:tcPr>
          <w:p>
            <w:r>
              <w:rPr>
                <w:b/>
                <w:sz w:val="18"/>
              </w:rPr>
              <w:t>6. Afsluiten</w:t>
            </w:r>
          </w:p>
        </w:tc>
        <w:tc>
          <w:tcPr>
            <w:tcW w:type="dxa" w:w="7632"/>
          </w:tcPr>
          <w:p>
            <w:r>
              <w:rPr>
                <w:sz w:val="18"/>
              </w:rPr>
              <w:t>Werk het informatieregister bij; post-exitevaluatie; voer lessen terug naar Deel A en de overige Deel B-plannen.</w:t>
            </w:r>
          </w:p>
        </w:tc>
      </w:tr>
    </w:tbl>
    <w:p/>
    <w:p>
      <w:r/>
    </w:p>
    <w:p>
      <w:pPr>
        <w:pStyle w:val="Heading1"/>
      </w:pPr>
      <w:r>
        <w:rPr>
          <w:color w:val="0A2733"/>
        </w:rPr>
        <w:t>Deel E — Ingevuld voorbeeld (fictief)</w:t>
      </w:r>
    </w:p>
    <w:p>
      <w:r>
        <w:rPr>
          <w:b w:val="0"/>
          <w:i/>
          <w:sz w:val="18"/>
        </w:rPr>
        <w:t>Nordbank SE (fictief) verlaat CloudCore GmbH (fictief) — consistent met het voorbeelduniversum in ons DORA-informatieregister-sjabloon en de DORA-bewijschecklist voor ICT-leveranciers.</w:t>
      </w:r>
    </w:p>
    <w:p>
      <w:pPr>
        <w:pStyle w:val="Heading2"/>
      </w:pPr>
      <w:r>
        <w:rPr>
          <w:color w:val="0A2733"/>
        </w:rPr>
        <w:t>E.1 Identificatie</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Contractreferentie (RoI-sleutel)</w:t>
            </w:r>
          </w:p>
        </w:tc>
        <w:tc>
          <w:tcPr>
            <w:tcW w:type="dxa" w:w="6192"/>
          </w:tcPr>
          <w:p>
            <w:r>
              <w:rPr>
                <w:sz w:val="18"/>
              </w:rPr>
              <w:t>CTR-2024-018</w:t>
            </w:r>
          </w:p>
        </w:tc>
      </w:tr>
      <w:tr>
        <w:tc>
          <w:tcPr>
            <w:tcW w:type="dxa" w:w="3168"/>
            <w:shd w:val="clear" w:fill="EEF2F4"/>
          </w:tcPr>
          <w:p>
            <w:r>
              <w:rPr>
                <w:b/>
                <w:sz w:val="18"/>
              </w:rPr>
              <w:t>ICT-derde aanbieder</w:t>
            </w:r>
          </w:p>
        </w:tc>
        <w:tc>
          <w:tcPr>
            <w:tcW w:type="dxa" w:w="6192"/>
          </w:tcPr>
          <w:p>
            <w:r>
              <w:rPr>
                <w:sz w:val="18"/>
              </w:rPr>
              <w:t>CloudCore GmbH · LEI 529900EXAMPLE0000018</w:t>
            </w:r>
          </w:p>
        </w:tc>
      </w:tr>
      <w:tr>
        <w:tc>
          <w:tcPr>
            <w:tcW w:type="dxa" w:w="3168"/>
            <w:shd w:val="clear" w:fill="EEF2F4"/>
          </w:tcPr>
          <w:p>
            <w:r>
              <w:rPr>
                <w:b/>
                <w:sz w:val="18"/>
              </w:rPr>
              <w:t>ICT-dienst</w:t>
            </w:r>
          </w:p>
        </w:tc>
        <w:tc>
          <w:tcPr>
            <w:tcW w:type="dxa" w:w="6192"/>
          </w:tcPr>
          <w:p>
            <w:r>
              <w:rPr>
                <w:sz w:val="18"/>
              </w:rPr>
              <w:t>Hostingplatform voor corebanking — S17 (Infrastructure-as-a-service)</w:t>
            </w:r>
          </w:p>
        </w:tc>
      </w:tr>
      <w:tr>
        <w:tc>
          <w:tcPr>
            <w:tcW w:type="dxa" w:w="3168"/>
            <w:shd w:val="clear" w:fill="EEF2F4"/>
          </w:tcPr>
          <w:p>
            <w:r>
              <w:rPr>
                <w:b/>
                <w:sz w:val="18"/>
              </w:rPr>
              <w:t>Ondersteunde kritieke/belangrijke functie</w:t>
            </w:r>
          </w:p>
        </w:tc>
        <w:tc>
          <w:tcPr>
            <w:tcW w:type="dxa" w:w="6192"/>
          </w:tcPr>
          <w:p>
            <w:r>
              <w:rPr>
                <w:sz w:val="18"/>
              </w:rPr>
              <w:t>Verwerking van retailbetalingen (kritiek — toets van art. 3, punt 22, gedocumenteerd in RoI B_06.01)</w:t>
            </w:r>
          </w:p>
        </w:tc>
      </w:tr>
      <w:tr>
        <w:tc>
          <w:tcPr>
            <w:tcW w:type="dxa" w:w="3168"/>
            <w:shd w:val="clear" w:fill="EEF2F4"/>
          </w:tcPr>
          <w:p>
            <w:r>
              <w:rPr>
                <w:b/>
                <w:sz w:val="18"/>
              </w:rPr>
              <w:t>Planeigenaar</w:t>
            </w:r>
          </w:p>
        </w:tc>
        <w:tc>
          <w:tcPr>
            <w:tcW w:type="dxa" w:w="6192"/>
          </w:tcPr>
          <w:p>
            <w:r>
              <w:rPr>
                <w:sz w:val="18"/>
              </w:rPr>
              <w:t>Hoofd Third-Party Risk Management</w:t>
            </w:r>
          </w:p>
        </w:tc>
      </w:tr>
      <w:tr>
        <w:tc>
          <w:tcPr>
            <w:tcW w:type="dxa" w:w="3168"/>
            <w:shd w:val="clear" w:fill="EEF2F4"/>
          </w:tcPr>
          <w:p>
            <w:r>
              <w:rPr>
                <w:b/>
                <w:sz w:val="18"/>
              </w:rPr>
              <w:t>Beslisser voor activering</w:t>
            </w:r>
          </w:p>
        </w:tc>
        <w:tc>
          <w:tcPr>
            <w:tcW w:type="dxa" w:w="6192"/>
          </w:tcPr>
          <w:p>
            <w:r>
              <w:rPr>
                <w:sz w:val="18"/>
              </w:rPr>
              <w:t>Comité Operationele Weerbaarheid</w:t>
            </w:r>
          </w:p>
        </w:tc>
      </w:tr>
      <w:tr>
        <w:tc>
          <w:tcPr>
            <w:tcW w:type="dxa" w:w="3168"/>
            <w:shd w:val="clear" w:fill="EEF2F4"/>
          </w:tcPr>
          <w:p>
            <w:r>
              <w:rPr>
                <w:b/>
                <w:sz w:val="18"/>
              </w:rPr>
              <w:t>Planversie · datum</w:t>
            </w:r>
          </w:p>
        </w:tc>
        <w:tc>
          <w:tcPr>
            <w:tcW w:type="dxa" w:w="6192"/>
          </w:tcPr>
          <w:p>
            <w:r>
              <w:rPr>
                <w:sz w:val="18"/>
              </w:rPr>
              <w:t>v2.1 · 2026-05-12</w:t>
            </w:r>
          </w:p>
        </w:tc>
      </w:tr>
    </w:tbl>
    <w:p/>
    <w:p>
      <w:pPr>
        <w:pStyle w:val="Heading2"/>
      </w:pPr>
      <w:r>
        <w:rPr>
          <w:color w:val="0A2733"/>
        </w:rPr>
        <w:t>E.2 Triggers (fragment)</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Gepland</w:t>
            </w:r>
          </w:p>
        </w:tc>
        <w:tc>
          <w:tcPr>
            <w:tcW w:type="dxa" w:w="6192"/>
          </w:tcPr>
          <w:p>
            <w:r>
              <w:rPr>
                <w:sz w:val="18"/>
              </w:rPr>
              <w:t>Contracteinde 2027-02-28 zonder verlengingsakkoord uiterlijk 2026-09-30</w:t>
            </w:r>
          </w:p>
        </w:tc>
      </w:tr>
      <w:tr>
        <w:tc>
          <w:tcPr>
            <w:tcW w:type="dxa" w:w="3168"/>
            <w:shd w:val="clear" w:fill="EEF2F4"/>
          </w:tcPr>
          <w:p>
            <w:r>
              <w:rPr>
                <w:b/>
                <w:sz w:val="18"/>
              </w:rPr>
              <w:t>Gedwongen</w:t>
            </w:r>
          </w:p>
        </w:tc>
        <w:tc>
          <w:tcPr>
            <w:tcW w:type="dxa" w:w="6192"/>
          </w:tcPr>
          <w:p>
            <w:r>
              <w:rPr>
                <w:sz w:val="18"/>
              </w:rPr>
              <w:t>Insolventie van CloudCore; herhaalde bevindingen onder art. 28(7)(c) — twee aanhoudende beschikbaarheidsschendingen (&lt;99,5% per maand) binnen een voortschrijdende periode van 6 maanden; toezichtsbeperking op de aanbieder</w:t>
            </w:r>
          </w:p>
        </w:tc>
      </w:tr>
    </w:tbl>
    <w:p/>
    <w:p>
      <w:pPr>
        <w:pStyle w:val="Heading2"/>
      </w:pPr>
      <w:r>
        <w:rPr>
          <w:color w:val="0A2733"/>
        </w:rPr>
        <w:t>E.3 Alternatief &amp; transitie (fragment)</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Gekozen exitroute</w:t>
            </w:r>
          </w:p>
        </w:tc>
        <w:tc>
          <w:tcPr>
            <w:tcW w:type="dxa" w:w="6192"/>
          </w:tcPr>
          <w:p>
            <w:r>
              <w:rPr>
                <w:sz w:val="18"/>
              </w:rPr>
              <w:t>Alternatieve aanbieder: HanseCloud AB (beoordeeld 2026-03, contractklaar); interne optie afgewezen (capaciteit)</w:t>
            </w:r>
          </w:p>
        </w:tc>
      </w:tr>
      <w:tr>
        <w:tc>
          <w:tcPr>
            <w:tcW w:type="dxa" w:w="3168"/>
            <w:shd w:val="clear" w:fill="EEF2F4"/>
          </w:tcPr>
          <w:p>
            <w:r>
              <w:rPr>
                <w:b/>
                <w:sz w:val="18"/>
              </w:rPr>
              <w:t>Fasen &amp; planning</w:t>
            </w:r>
          </w:p>
        </w:tc>
        <w:tc>
          <w:tcPr>
            <w:tcW w:type="dxa" w:w="6192"/>
          </w:tcPr>
          <w:p>
            <w:r>
              <w:rPr>
                <w:sz w:val="18"/>
              </w:rPr>
              <w:t>Voorbereiding 4 wkn → datamigratie 6 wkn → parallelrun 4 wkn → cutover 1 wk → ontmanteling 3 wkn = 18 wkn totaal</w:t>
            </w:r>
          </w:p>
        </w:tc>
      </w:tr>
      <w:tr>
        <w:tc>
          <w:tcPr>
            <w:tcW w:type="dxa" w:w="3168"/>
            <w:shd w:val="clear" w:fill="EEF2F4"/>
          </w:tcPr>
          <w:p>
            <w:r>
              <w:rPr>
                <w:b/>
                <w:sz w:val="18"/>
              </w:rPr>
              <w:t>Transitieperiode (art. 30, lid 3, onder f))</w:t>
            </w:r>
          </w:p>
        </w:tc>
        <w:tc>
          <w:tcPr>
            <w:tcW w:type="dxa" w:w="6192"/>
          </w:tcPr>
          <w:p>
            <w:r>
              <w:rPr>
                <w:sz w:val="18"/>
              </w:rPr>
              <w:t>24 maanden vanaf de opzegging — het plan van 18 wkn past; JA</w:t>
            </w:r>
          </w:p>
        </w:tc>
      </w:tr>
      <w:tr>
        <w:tc>
          <w:tcPr>
            <w:tcW w:type="dxa" w:w="3168"/>
            <w:shd w:val="clear" w:fill="EEF2F4"/>
          </w:tcPr>
          <w:p>
            <w:r>
              <w:rPr>
                <w:b/>
                <w:sz w:val="18"/>
              </w:rPr>
              <w:t>Formaat gegevensteruggave</w:t>
            </w:r>
          </w:p>
        </w:tc>
        <w:tc>
          <w:tcPr>
            <w:tcW w:type="dxa" w:w="6192"/>
          </w:tcPr>
          <w:p>
            <w:r>
              <w:rPr>
                <w:sz w:val="18"/>
              </w:rPr>
              <w:t>Volledige PostgreSQL-dumps + objectopslagexport (S3-compatibel), AES-256 onderweg, verificatie via SHA-256-manifesten</w:t>
            </w:r>
          </w:p>
        </w:tc>
      </w:tr>
      <w:tr>
        <w:tc>
          <w:tcPr>
            <w:tcW w:type="dxa" w:w="3168"/>
            <w:shd w:val="clear" w:fill="EEF2F4"/>
          </w:tcPr>
          <w:p>
            <w:r>
              <w:rPr>
                <w:b/>
                <w:sz w:val="18"/>
              </w:rPr>
              <w:t>Noodmaatregelen</w:t>
            </w:r>
          </w:p>
        </w:tc>
        <w:tc>
          <w:tcPr>
            <w:tcW w:type="dxa" w:w="6192"/>
          </w:tcPr>
          <w:p>
            <w:r>
              <w:rPr>
                <w:sz w:val="18"/>
              </w:rPr>
              <w:t>Betalingswachtrij in degraded mode via secundaire verwerkingslocatie (RTO 4 uur) tijdens het cutovervenster</w:t>
            </w:r>
          </w:p>
        </w:tc>
      </w:tr>
    </w:tbl>
    <w:p/>
    <w:p>
      <w:pPr>
        <w:pStyle w:val="Heading2"/>
      </w:pPr>
      <w:r>
        <w:rPr>
          <w:color w:val="0A2733"/>
        </w:rPr>
        <w:t>E.4 Laatste test (fragment)</w:t>
      </w:r>
    </w:p>
    <w:tbl>
      <w:tblPr>
        <w:tblStyle w:val="TableGrid"/>
        <w:tblW w:type="auto" w:w="0"/>
        <w:jc w:val="left"/>
        <w:tblLook w:firstColumn="1" w:firstRow="1" w:lastColumn="0" w:lastRow="0" w:noHBand="0" w:noVBand="1" w:val="04A0"/>
      </w:tblPr>
      <w:tblGrid>
        <w:gridCol w:w="4320"/>
        <w:gridCol w:w="4320"/>
      </w:tblGrid>
      <w:tr>
        <w:tc>
          <w:tcPr>
            <w:tcW w:type="dxa" w:w="2592"/>
            <w:shd w:val="clear" w:fill="EEF2F4"/>
          </w:tcPr>
          <w:p>
            <w:r>
              <w:rPr>
                <w:b/>
                <w:sz w:val="18"/>
              </w:rPr>
              <w:t>2026-04-22 · CTR-2024-018</w:t>
            </w:r>
          </w:p>
        </w:tc>
        <w:tc>
          <w:tcPr>
            <w:tcW w:type="dxa" w:w="6768"/>
          </w:tcPr>
          <w:p>
            <w:r>
              <w:rPr>
                <w:sz w:val="18"/>
              </w:rPr>
              <w:t>Scenario: aanhoudende onderbreking (insolventie aanbieder). Type: tabletop + gedeeltelijke data-extractietest (5%-steekproef, integriteit geverifieerd). Bevindingen: exportdoorvoer 40% onder de aanname — migratiefase herpland van 4 naar 6 wkn. Remediëring afgesloten 2026-05-12; volgende test 2027-04.</w:t>
            </w:r>
          </w:p>
        </w:tc>
      </w:tr>
    </w:tbl>
    <w:p/>
    <w:p>
      <w:r>
        <w:rPr>
          <w:b w:val="0"/>
          <w:i w:val="0"/>
          <w:sz w:val="20"/>
        </w:rPr>
      </w:r>
    </w:p>
    <w:p>
      <w:r>
        <w:rPr>
          <w:b w:val="0"/>
          <w:i/>
          <w:sz w:val="16"/>
        </w:rPr>
        <w:t>Orbiq · DORA-exitstrategie- en exitplansjabloon v1.0 · 2026-07-23 · orbiqhq.com/nl/sjablonen/dora-exitstrategie-sjabloon · Vrij te gebruiken en aan te passen binnen uw organisatie. Geen juridisch advies.</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