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AVG-datalekmelding sjablonenpakket</w:t>
      </w:r>
    </w:p>
    <w:p>
      <w:r>
        <w:rPr>
          <w:color w:val="5A6A72"/>
          <w:sz w:val="24"/>
        </w:rPr>
        <w:t>Artikel 33-melding aan de autoriteit · Artikel 34-brief aan betrokkenen · Artikel 33(5)-datalekregister</w:t>
      </w:r>
    </w:p>
    <w:p>
      <w:r>
        <w:rPr>
          <w:b/>
          <w:color w:val="B88A00"/>
          <w:sz w:val="18"/>
        </w:rPr>
        <w:t>GRATIS SJABLOON — DOCX · PDF · MD    |    Versie 1.0 · Bijgewerkt 2026-07-22</w:t>
      </w:r>
    </w:p>
    <w:p/>
    <w:p>
      <w:pPr>
        <w:pStyle w:val="Heading2"/>
      </w:pPr>
      <w:r>
        <w:t>Zo gebruikt u dit pakket</w:t>
      </w:r>
    </w:p>
    <w:p>
      <w:pPr>
        <w:pStyle w:val="ListBullet"/>
      </w:pPr>
      <w:r>
        <w:rPr>
          <w:sz w:val="20"/>
        </w:rPr>
        <w:t>Document A — dien in bij uw toezichthoudende autoriteit zonder onredelijke vertraging en, waar mogelijk, binnen 72 uur na kennisname van de inbreuk (AVG art. 33(1)). Gebruik de faseringsmarkering als de informatie onvolledig is (art. 33(4)).</w:t>
      </w:r>
    </w:p>
    <w:p>
      <w:pPr>
        <w:pStyle w:val="ListBullet"/>
      </w:pPr>
      <w:r>
        <w:rPr>
          <w:sz w:val="20"/>
        </w:rPr>
        <w:t>Document B — verstuur zonder onredelijke vertraging aan de getroffen betrokkenen wanneer de inbreuk waarschijnlijk een HOOG risico voor hun rechten en vrijheden oplevert (art. 34(1)), tenzij een uitzondering van art. 34(3) geldt.</w:t>
      </w:r>
    </w:p>
    <w:p>
      <w:pPr>
        <w:pStyle w:val="ListBullet"/>
      </w:pPr>
      <w:r>
        <w:rPr>
          <w:sz w:val="20"/>
        </w:rPr>
        <w:t>Document C — invullen voor ELKE inbreuk, ook die u besluit niet te melden (art. 33(5)).</w:t>
      </w:r>
    </w:p>
    <w:p>
      <w:pPr>
        <w:pStyle w:val="ListBullet"/>
      </w:pPr>
      <w:r>
        <w:rPr>
          <w:sz w:val="20"/>
        </w:rPr>
        <w:t>Document D — beslishulp van één pagina: welke documenten vereist dit incident?</w:t>
      </w:r>
    </w:p>
    <w:p>
      <w:r>
        <w:rPr>
          <w:i/>
          <w:color w:val="5A6A72"/>
          <w:sz w:val="18"/>
        </w:rPr>
        <w:t>De 72-uursklok loopt vanaf kennisname — het moment waarop een verantwoordelijke persoon met redelijke zekerheid concludeert dat persoonsgegevens zijn gecompromitteerd (EDPB-richtsnoeren 9/2022) — niet vanaf het einde van het forensisch onderzoek. Nederland: meld bij de Autoriteit Persoonsgegevens via het meldloket datalekken; een te late melding wordt alleen in uitzonderlijke gevallen geaccepteerd. VK: meld bij de ICO (online formulier of telefonisch). Noorwegen: meld bij Datatilsynet via Altinn. Grensoverschrijdend in de EU/EER: meld bij uw leidende toezichthoudende autoriteit (art. 56).</w:t>
      </w:r>
    </w:p>
    <w:p>
      <w:r/>
    </w:p>
    <w:p>
      <w:pPr>
        <w:pStyle w:val="Heading1"/>
      </w:pPr>
      <w:r>
        <w:t>Document A — Melding aan de toezichthoudende autoriteit (artikel 33)</w:t>
      </w:r>
    </w:p>
    <w:p>
      <w:r>
        <w:rPr>
          <w:i/>
          <w:color w:val="5A6A72"/>
          <w:sz w:val="18"/>
        </w:rPr>
        <w:t>Vul elke sectie in. De secties 2–5 sluiten aan op artikel 33(3)(a)–(d) — de wettelijke minimuminhoud. Markeer het meldingstype en houd elke indiening bij in het bijwerklog van document C.</w:t>
      </w:r>
    </w:p>
    <w:p>
      <w:pPr>
        <w:pStyle w:val="Heading3"/>
      </w:pPr>
      <w:r>
        <w:t>A.1 Indieningsgegevens</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Aan (toezichthoudende autoriteit)</w:t>
            </w:r>
          </w:p>
        </w:tc>
        <w:tc>
          <w:tcPr>
            <w:tcW w:type="dxa" w:w="6192"/>
          </w:tcPr>
          <w:p>
            <w:r>
              <w:rPr>
                <w:i/>
                <w:color w:val="5A6A72"/>
                <w:sz w:val="18"/>
              </w:rPr>
              <w:t>Bevoegde autoriteit; de leidende toezichthoudende autoriteit bij grensoverschrijdende verwerking (art. 56)</w:t>
            </w:r>
          </w:p>
        </w:tc>
      </w:tr>
      <w:tr>
        <w:tc>
          <w:tcPr>
            <w:tcW w:type="dxa" w:w="3168"/>
            <w:shd w:val="clear" w:fill="F5F1E8"/>
          </w:tcPr>
          <w:p>
            <w:r>
              <w:rPr>
                <w:b/>
                <w:color w:val="0A2733"/>
                <w:sz w:val="18"/>
              </w:rPr>
              <w:t>Van (verwerkingsverantwoordelijke)</w:t>
            </w:r>
          </w:p>
        </w:tc>
        <w:tc>
          <w:tcPr>
            <w:tcW w:type="dxa" w:w="6192"/>
          </w:tcPr>
          <w:p>
            <w:r>
              <w:rPr>
                <w:i/>
                <w:color w:val="5A6A72"/>
                <w:sz w:val="18"/>
              </w:rPr>
              <w:t>Naam van de juridische entiteit en statutair adres</w:t>
            </w:r>
          </w:p>
        </w:tc>
      </w:tr>
      <w:tr>
        <w:tc>
          <w:tcPr>
            <w:tcW w:type="dxa" w:w="3168"/>
            <w:shd w:val="clear" w:fill="F5F1E8"/>
          </w:tcPr>
          <w:p>
            <w:r>
              <w:rPr>
                <w:b/>
                <w:color w:val="0A2733"/>
                <w:sz w:val="18"/>
              </w:rPr>
              <w:t>Incidentreferentie</w:t>
            </w:r>
          </w:p>
        </w:tc>
        <w:tc>
          <w:tcPr>
            <w:tcW w:type="dxa" w:w="6192"/>
          </w:tcPr>
          <w:p>
            <w:r>
              <w:rPr>
                <w:i/>
                <w:color w:val="5A6A72"/>
                <w:sz w:val="18"/>
              </w:rPr>
              <w:t>Intern ID, bijv. BREACH-2026-007</w:t>
            </w:r>
          </w:p>
        </w:tc>
      </w:tr>
      <w:tr>
        <w:tc>
          <w:tcPr>
            <w:tcW w:type="dxa" w:w="3168"/>
            <w:shd w:val="clear" w:fill="F5F1E8"/>
          </w:tcPr>
          <w:p>
            <w:r>
              <w:rPr>
                <w:b/>
                <w:color w:val="0A2733"/>
                <w:sz w:val="18"/>
              </w:rPr>
              <w:t>Meldingstype</w:t>
            </w:r>
          </w:p>
        </w:tc>
        <w:tc>
          <w:tcPr>
            <w:tcW w:type="dxa" w:w="6192"/>
          </w:tcPr>
          <w:p>
            <w:r>
              <w:rPr>
                <w:i/>
                <w:color w:val="5A6A72"/>
                <w:sz w:val="18"/>
              </w:rPr>
              <w:t>Initieel / Bijwerking / Definitief (gefaseerde melding, art. 33(4))</w:t>
            </w:r>
          </w:p>
        </w:tc>
      </w:tr>
      <w:tr>
        <w:tc>
          <w:tcPr>
            <w:tcW w:type="dxa" w:w="3168"/>
            <w:shd w:val="clear" w:fill="F5F1E8"/>
          </w:tcPr>
          <w:p>
            <w:r>
              <w:rPr>
                <w:b/>
                <w:color w:val="0A2733"/>
                <w:sz w:val="18"/>
              </w:rPr>
              <w:t>Ingediend (datum &amp; tijd)</w:t>
            </w:r>
          </w:p>
        </w:tc>
        <w:tc>
          <w:tcPr>
            <w:tcW w:type="dxa" w:w="6192"/>
          </w:tcPr>
          <w:p>
            <w:r>
              <w:rPr>
                <w:i/>
                <w:color w:val="5A6A72"/>
                <w:sz w:val="18"/>
              </w:rPr>
              <w:t>Tijdstip van deze indiening</w:t>
            </w:r>
          </w:p>
        </w:tc>
      </w:tr>
    </w:tbl>
    <w:p/>
    <w:p>
      <w:pPr>
        <w:pStyle w:val="Heading3"/>
      </w:pPr>
      <w:r>
        <w:t>A.2 Kennisname en tijdlijn (art. 33(1))</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Tijdstip van kennisname</w:t>
            </w:r>
          </w:p>
        </w:tc>
        <w:tc>
          <w:tcPr>
            <w:tcW w:type="dxa" w:w="6192"/>
          </w:tcPr>
          <w:p>
            <w:r>
              <w:rPr>
                <w:i/>
                <w:color w:val="5A6A72"/>
                <w:sz w:val="18"/>
              </w:rPr>
              <w:t>Wanneer een verantwoordelijke persoon concludeerde dat er waarschijnlijk een inbreuk was — start van de 72-uursklok</w:t>
            </w:r>
          </w:p>
        </w:tc>
      </w:tr>
      <w:tr>
        <w:tc>
          <w:tcPr>
            <w:tcW w:type="dxa" w:w="3168"/>
            <w:shd w:val="clear" w:fill="F5F1E8"/>
          </w:tcPr>
          <w:p>
            <w:r>
              <w:rPr>
                <w:b/>
                <w:color w:val="0A2733"/>
                <w:sz w:val="18"/>
              </w:rPr>
              <w:t>Hoe wij kennis kregen</w:t>
            </w:r>
          </w:p>
        </w:tc>
        <w:tc>
          <w:tcPr>
            <w:tcW w:type="dxa" w:w="6192"/>
          </w:tcPr>
          <w:p>
            <w:r>
              <w:rPr>
                <w:i/>
                <w:color w:val="5A6A72"/>
                <w:sz w:val="18"/>
              </w:rPr>
              <w:t>Alert, verwerkersmelding onder art. 33(2), klantmelding, auditbevinding…</w:t>
            </w:r>
          </w:p>
        </w:tc>
      </w:tr>
      <w:tr>
        <w:tc>
          <w:tcPr>
            <w:tcW w:type="dxa" w:w="3168"/>
            <w:shd w:val="clear" w:fill="F5F1E8"/>
          </w:tcPr>
          <w:p>
            <w:r>
              <w:rPr>
                <w:b/>
                <w:color w:val="0A2733"/>
                <w:sz w:val="18"/>
              </w:rPr>
              <w:t>Redenen voor vertraging</w:t>
            </w:r>
          </w:p>
        </w:tc>
        <w:tc>
          <w:tcPr>
            <w:tcW w:type="dxa" w:w="6192"/>
          </w:tcPr>
          <w:p>
            <w:r>
              <w:rPr>
                <w:i/>
                <w:color w:val="5A6A72"/>
                <w:sz w:val="18"/>
              </w:rPr>
              <w:t>VERPLICHT als deze indiening later is dan 72 uur na kennisname; anders n.v.t.</w:t>
            </w:r>
          </w:p>
        </w:tc>
      </w:tr>
    </w:tbl>
    <w:p/>
    <w:p>
      <w:pPr>
        <w:pStyle w:val="Heading3"/>
      </w:pPr>
      <w:r>
        <w:t>A.3 Aard van de inbreuk (art. 33(3)(a))</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Wat er is gebeurd</w:t>
            </w:r>
          </w:p>
        </w:tc>
        <w:tc>
          <w:tcPr>
            <w:tcW w:type="dxa" w:w="6192"/>
          </w:tcPr>
          <w:p>
            <w:r>
              <w:rPr>
                <w:i/>
                <w:color w:val="5A6A72"/>
                <w:sz w:val="18"/>
              </w:rPr>
              <w:t>Beschrijf het incident en de oorzaak; vermeld of het een inbreuk op de vertrouwelijkheid, integriteit en/of beschikbaarheid is</w:t>
            </w:r>
          </w:p>
        </w:tc>
      </w:tr>
      <w:tr>
        <w:tc>
          <w:tcPr>
            <w:tcW w:type="dxa" w:w="3168"/>
            <w:shd w:val="clear" w:fill="F5F1E8"/>
          </w:tcPr>
          <w:p>
            <w:r>
              <w:rPr>
                <w:b/>
                <w:color w:val="0A2733"/>
                <w:sz w:val="18"/>
              </w:rPr>
              <w:t>Categorieën van betrokkenen</w:t>
            </w:r>
          </w:p>
        </w:tc>
        <w:tc>
          <w:tcPr>
            <w:tcW w:type="dxa" w:w="6192"/>
          </w:tcPr>
          <w:p>
            <w:r>
              <w:rPr>
                <w:i/>
                <w:color w:val="5A6A72"/>
                <w:sz w:val="18"/>
              </w:rPr>
              <w:t>Bijv. klanten, medewerkers, eindgebruikers van klanten</w:t>
            </w:r>
          </w:p>
        </w:tc>
      </w:tr>
      <w:tr>
        <w:tc>
          <w:tcPr>
            <w:tcW w:type="dxa" w:w="3168"/>
            <w:shd w:val="clear" w:fill="F5F1E8"/>
          </w:tcPr>
          <w:p>
            <w:r>
              <w:rPr>
                <w:b/>
                <w:color w:val="0A2733"/>
                <w:sz w:val="18"/>
              </w:rPr>
              <w:t>Bij benadering aantal betrokkenen</w:t>
            </w:r>
          </w:p>
        </w:tc>
        <w:tc>
          <w:tcPr>
            <w:tcW w:type="dxa" w:w="6192"/>
          </w:tcPr>
          <w:p>
            <w:r>
              <w:rPr>
                <w:i/>
                <w:color w:val="5A6A72"/>
                <w:sz w:val="18"/>
              </w:rPr>
              <w:t>Aantal of bereik; bijwerken in latere indieningen als het verandert</w:t>
            </w:r>
          </w:p>
        </w:tc>
      </w:tr>
      <w:tr>
        <w:tc>
          <w:tcPr>
            <w:tcW w:type="dxa" w:w="3168"/>
            <w:shd w:val="clear" w:fill="F5F1E8"/>
          </w:tcPr>
          <w:p>
            <w:r>
              <w:rPr>
                <w:b/>
                <w:color w:val="0A2733"/>
                <w:sz w:val="18"/>
              </w:rPr>
              <w:t>Categorieën van persoonsgegevens</w:t>
            </w:r>
          </w:p>
        </w:tc>
        <w:tc>
          <w:tcPr>
            <w:tcW w:type="dxa" w:w="6192"/>
          </w:tcPr>
          <w:p>
            <w:r>
              <w:rPr>
                <w:i/>
                <w:color w:val="5A6A72"/>
                <w:sz w:val="18"/>
              </w:rPr>
              <w:t>Bijv. contactgegevens, inloggegevens, financiële gegevens — markeer bijzondere categorieën (art. 9) expliciet</w:t>
            </w:r>
          </w:p>
        </w:tc>
      </w:tr>
      <w:tr>
        <w:tc>
          <w:tcPr>
            <w:tcW w:type="dxa" w:w="3168"/>
            <w:shd w:val="clear" w:fill="F5F1E8"/>
          </w:tcPr>
          <w:p>
            <w:r>
              <w:rPr>
                <w:b/>
                <w:color w:val="0A2733"/>
                <w:sz w:val="18"/>
              </w:rPr>
              <w:t>Bij benadering aantal registers</w:t>
            </w:r>
          </w:p>
        </w:tc>
        <w:tc>
          <w:tcPr>
            <w:tcW w:type="dxa" w:w="6192"/>
          </w:tcPr>
          <w:p>
            <w:r>
              <w:rPr>
                <w:i/>
                <w:color w:val="5A6A72"/>
                <w:sz w:val="18"/>
              </w:rPr>
              <w:t>Aantal of bereik</w:t>
            </w:r>
          </w:p>
        </w:tc>
      </w:tr>
    </w:tbl>
    <w:p/>
    <w:p>
      <w:pPr>
        <w:pStyle w:val="Heading3"/>
      </w:pPr>
      <w:r>
        <w:t>A.4 Contactpunt (art. 33(3)(b))</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FG / contactpunt</w:t>
            </w:r>
          </w:p>
        </w:tc>
        <w:tc>
          <w:tcPr>
            <w:tcW w:type="dxa" w:w="6192"/>
          </w:tcPr>
          <w:p>
            <w:r>
              <w:rPr>
                <w:i/>
                <w:color w:val="5A6A72"/>
                <w:sz w:val="18"/>
              </w:rPr>
              <w:t>Naam, rol, e-mail, telefoon — waar de autoriteit meer informatie kan verkrijgen</w:t>
            </w:r>
          </w:p>
        </w:tc>
      </w:tr>
    </w:tbl>
    <w:p/>
    <w:p>
      <w:pPr>
        <w:pStyle w:val="Heading3"/>
      </w:pPr>
      <w:r>
        <w:t>A.5 Waarschijnlijke gevolgen (art. 33(3)(c))</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Waarschijnlijke gevolgen</w:t>
            </w:r>
          </w:p>
        </w:tc>
        <w:tc>
          <w:tcPr>
            <w:tcW w:type="dxa" w:w="6192"/>
          </w:tcPr>
          <w:p>
            <w:r>
              <w:rPr>
                <w:i/>
                <w:color w:val="5A6A72"/>
                <w:sz w:val="18"/>
              </w:rPr>
              <w:t>Realistische schade: identiteitsfraude, oplichting, financieel verlies, reputatieschade, blootstelling van bijzondere categorieën</w:t>
            </w:r>
          </w:p>
        </w:tc>
      </w:tr>
    </w:tbl>
    <w:p/>
    <w:p>
      <w:pPr>
        <w:pStyle w:val="Heading3"/>
      </w:pPr>
      <w:r>
        <w:t>A.6 Genomen of voorgestelde maatregelen (art. 33(3)(d))</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Indamming &amp; herstel</w:t>
            </w:r>
          </w:p>
        </w:tc>
        <w:tc>
          <w:tcPr>
            <w:tcW w:type="dxa" w:w="6192"/>
          </w:tcPr>
          <w:p>
            <w:r>
              <w:rPr>
                <w:i/>
                <w:color w:val="5A6A72"/>
                <w:sz w:val="18"/>
              </w:rPr>
              <w:t>Wat er is gedaan om de inbreuk aan te pakken</w:t>
            </w:r>
          </w:p>
        </w:tc>
      </w:tr>
      <w:tr>
        <w:tc>
          <w:tcPr>
            <w:tcW w:type="dxa" w:w="3168"/>
            <w:shd w:val="clear" w:fill="F5F1E8"/>
          </w:tcPr>
          <w:p>
            <w:r>
              <w:rPr>
                <w:b/>
                <w:color w:val="0A2733"/>
                <w:sz w:val="18"/>
              </w:rPr>
              <w:t>Beperking van nadelige gevolgen</w:t>
            </w:r>
          </w:p>
        </w:tc>
        <w:tc>
          <w:tcPr>
            <w:tcW w:type="dxa" w:w="6192"/>
          </w:tcPr>
          <w:p>
            <w:r>
              <w:rPr>
                <w:i/>
                <w:color w:val="5A6A72"/>
                <w:sz w:val="18"/>
              </w:rPr>
              <w:t>Maatregelen die de schade voor betrokkenen verminderen, bijv. gedwongen wachtwoordreset, intrekking van inloggegevens</w:t>
            </w:r>
          </w:p>
        </w:tc>
      </w:tr>
    </w:tbl>
    <w:p/>
    <w:p>
      <w:pPr>
        <w:pStyle w:val="Heading3"/>
      </w:pPr>
      <w:r>
        <w:t>A.7 Standpunt over mededeling aan betrokkenen</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Risicobeoordeling</w:t>
            </w:r>
          </w:p>
        </w:tc>
        <w:tc>
          <w:tcPr>
            <w:tcW w:type="dxa" w:w="6192"/>
          </w:tcPr>
          <w:p>
            <w:r>
              <w:rPr>
                <w:i/>
                <w:color w:val="5A6A72"/>
                <w:sz w:val="18"/>
              </w:rPr>
              <w:t>Waarschijnlijk geen risico / risico / hoog risico — met korte redenering</w:t>
            </w:r>
          </w:p>
        </w:tc>
      </w:tr>
      <w:tr>
        <w:tc>
          <w:tcPr>
            <w:tcW w:type="dxa" w:w="3168"/>
            <w:shd w:val="clear" w:fill="F5F1E8"/>
          </w:tcPr>
          <w:p>
            <w:r>
              <w:rPr>
                <w:b/>
                <w:color w:val="0A2733"/>
                <w:sz w:val="18"/>
              </w:rPr>
              <w:t>Artikel 34-standpunt</w:t>
            </w:r>
          </w:p>
        </w:tc>
        <w:tc>
          <w:tcPr>
            <w:tcW w:type="dxa" w:w="6192"/>
          </w:tcPr>
          <w:p>
            <w:r>
              <w:rPr>
                <w:i/>
                <w:color w:val="5A6A72"/>
                <w:sz w:val="18"/>
              </w:rPr>
              <w:t>Mededeling verzonden of gepland (datum), of ingeroepen uitzondering: 34(3)(a) onbegrijpelijke gegevens, 34(3)(b) risico weggenomen, 34(3)(c) openbare mededeling</w:t>
            </w:r>
          </w:p>
        </w:tc>
      </w:tr>
    </w:tbl>
    <w:p/>
    <w:p>
      <w:pPr>
        <w:pStyle w:val="Heading3"/>
      </w:pPr>
      <w:r>
        <w:t>A.8 Grensoverschrijdende verwerking (art. 56)</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Grensoverschrijdend?</w:t>
            </w:r>
          </w:p>
        </w:tc>
        <w:tc>
          <w:tcPr>
            <w:tcW w:type="dxa" w:w="6192"/>
          </w:tcPr>
          <w:p>
            <w:r>
              <w:rPr>
                <w:i/>
                <w:color w:val="5A6A72"/>
                <w:sz w:val="18"/>
              </w:rPr>
              <w:t>Zijn betrokkenen in meer dan één lidstaat geraakt?</w:t>
            </w:r>
          </w:p>
        </w:tc>
      </w:tr>
      <w:tr>
        <w:tc>
          <w:tcPr>
            <w:tcW w:type="dxa" w:w="3168"/>
            <w:shd w:val="clear" w:fill="F5F1E8"/>
          </w:tcPr>
          <w:p>
            <w:r>
              <w:rPr>
                <w:b/>
                <w:color w:val="0A2733"/>
                <w:sz w:val="18"/>
              </w:rPr>
              <w:t>Basis leidende autoriteit</w:t>
            </w:r>
          </w:p>
        </w:tc>
        <w:tc>
          <w:tcPr>
            <w:tcW w:type="dxa" w:w="6192"/>
          </w:tcPr>
          <w:p>
            <w:r>
              <w:rPr>
                <w:i/>
                <w:color w:val="5A6A72"/>
                <w:sz w:val="18"/>
              </w:rPr>
              <w:t>Hoofdvestigingsredenering die de leidende toezichthoudende autoriteit aanwijst</w:t>
            </w:r>
          </w:p>
        </w:tc>
      </w:tr>
    </w:tbl>
    <w:p/>
    <w:p>
      <w:r/>
    </w:p>
    <w:p>
      <w:pPr>
        <w:pStyle w:val="Heading1"/>
      </w:pPr>
      <w:r>
        <w:t>Document B — Mededeling aan betrokkenen (artikel 34)</w:t>
      </w:r>
    </w:p>
    <w:p>
      <w:r>
        <w:rPr>
          <w:i/>
          <w:color w:val="5A6A72"/>
          <w:sz w:val="18"/>
        </w:rPr>
        <w:t>Vereist zonder onredelijke vertraging wanneer de inbreuk waarschijnlijk een HOOG risico voor de rechten en vrijheden van betrokkenen oplevert. Moet in duidelijke en eenvoudige taal zijn en ten minste het contactpunt, de waarschijnlijke gevolgen en de maatregelen bevatten (art. 34(2) → art. 33(3)(b),(c),(d)). Vervang de tekst tussen haken; houd zinnen kort; vermijd technisch en juridisch jargon.</w:t>
      </w:r>
    </w:p>
    <w:p>
      <w:r>
        <w:rPr>
          <w:b/>
          <w:color w:val="0A2733"/>
        </w:rPr>
        <w:t xml:space="preserve">Onderwerp: </w:t>
      </w:r>
      <w:r>
        <w:rPr>
          <w:i w:val="0"/>
          <w:color w:val="5A6A72"/>
        </w:rPr>
        <w:t>Belangrijk beveiligingsbericht over uw persoonsgegevens</w:t>
      </w:r>
    </w:p>
    <w:p>
      <w:r>
        <w:rPr>
          <w:b w:val="0"/>
        </w:rPr>
        <w:t>Beste [naam klant],</w:t>
      </w:r>
    </w:p>
    <w:p>
      <w:r>
        <w:rPr>
          <w:b/>
          <w:color w:val="0A2733"/>
        </w:rPr>
        <w:t xml:space="preserve">Wat er is gebeurd </w:t>
      </w:r>
      <w:r>
        <w:rPr>
          <w:i w:val="0"/>
          <w:color w:val="5A6A72"/>
        </w:rPr>
        <w:t>Op [datum] ontdekten wij een gegevensbeveiligingsincident bij [Bedrijf]. [Eén of twee zinnen in eenvoudige taal: wat er gebeurde en wanneer het werd ingedamd.]</w:t>
      </w:r>
    </w:p>
    <w:p>
      <w:r>
        <w:rPr>
          <w:b/>
          <w:color w:val="0A2733"/>
        </w:rPr>
        <w:t xml:space="preserve">Welke gegevens het betreft </w:t>
      </w:r>
      <w:r>
        <w:rPr>
          <w:i/>
          <w:color w:val="5A6A72"/>
        </w:rPr>
        <w:t>[De getroffen categorieën van uw persoonsgegevens — bijv. naam, e-mailadres, gehasht wachtwoord. Benoem duidelijk wat NIET is geraakt, bijv. betaalgegevens.]</w:t>
      </w:r>
    </w:p>
    <w:p>
      <w:r>
        <w:rPr>
          <w:b/>
          <w:color w:val="0A2733"/>
        </w:rPr>
        <w:t xml:space="preserve">Wat dit voor u kan betekenen </w:t>
      </w:r>
      <w:r>
        <w:rPr>
          <w:i/>
          <w:color w:val="5A6A72"/>
        </w:rPr>
        <w:t>[De realistische gevolgen — bijv. phishingmails die van ons afkomstig lijken, inlogpogingen met uw e-mailadres.]</w:t>
      </w:r>
    </w:p>
    <w:p>
      <w:r>
        <w:rPr>
          <w:b/>
          <w:color w:val="0A2733"/>
        </w:rPr>
        <w:t xml:space="preserve">Wat wij doen </w:t>
      </w:r>
      <w:r>
        <w:rPr>
          <w:i/>
          <w:color w:val="5A6A72"/>
        </w:rPr>
        <w:t>[Indamming, onderzoek, melding aan de toezichthoudende autoriteit, beveiligingsverbeteringen.]</w:t>
      </w:r>
    </w:p>
    <w:p>
      <w:r>
        <w:rPr>
          <w:b/>
          <w:color w:val="0A2733"/>
        </w:rPr>
        <w:t xml:space="preserve">Wat u kunt doen </w:t>
      </w:r>
      <w:r>
        <w:rPr>
          <w:i/>
          <w:color w:val="5A6A72"/>
        </w:rPr>
        <w:t>[Concrete stappen: reset uw wachtwoord, schakel tweefactorauthenticatie in, let op verdachte e-mails, controleer uw rekeningafschriften. Wees specifiek.]</w:t>
      </w:r>
    </w:p>
    <w:p>
      <w:r>
        <w:rPr>
          <w:b/>
          <w:color w:val="0A2733"/>
        </w:rPr>
        <w:t xml:space="preserve">Waar u meer informatie vindt </w:t>
      </w:r>
      <w:r>
        <w:rPr>
          <w:i/>
          <w:color w:val="5A6A72"/>
        </w:rPr>
        <w:t>[FG / contactpunt: naam, e-mail, telefoon — en een statuspagina indien beschikbaar.]</w:t>
      </w:r>
    </w:p>
    <w:p>
      <w:r>
        <w:rPr>
          <w:b/>
          <w:color w:val="0A2733"/>
        </w:rPr>
        <w:t xml:space="preserve">Afsluiting </w:t>
      </w:r>
      <w:r>
        <w:rPr>
          <w:i w:val="0"/>
          <w:color w:val="5A6A72"/>
        </w:rPr>
        <w:t>Onze excuses voor de zorgen die dit incident kan veroorzaken. Wij houden u op de hoogte naarmate ons onderzoek vordert. — [Naam, rol, Bedrijf]</w:t>
      </w:r>
    </w:p>
    <w:p>
      <w:pPr>
        <w:pStyle w:val="Heading3"/>
      </w:pPr>
      <w:r>
        <w:t>Variant openbare mededeling (art. 34(3)(c))</w:t>
      </w:r>
    </w:p>
    <w:p>
      <w:r>
        <w:rPr>
          <w:i/>
          <w:color w:val="5A6A72"/>
          <w:sz w:val="18"/>
        </w:rPr>
        <w:t>Zou het individueel benaderen van elke betrokkene onevenredige inspanning vergen, publiceer dan dezelfde inhoud als openbare mededeling (websitebanner, persbericht) die betrokkenen even doeltreffend informeert — en leg de kanaalkeuze en redenering vast in document C.</w:t>
      </w:r>
    </w:p>
    <w:p>
      <w:r/>
    </w:p>
    <w:p>
      <w:pPr>
        <w:pStyle w:val="Heading1"/>
      </w:pPr>
      <w:r>
        <w:t>Document C — Interne registervermelding (artikel 33(5))</w:t>
      </w:r>
    </w:p>
    <w:p>
      <w:r>
        <w:rPr>
          <w:i/>
          <w:color w:val="5A6A72"/>
          <w:sz w:val="18"/>
        </w:rPr>
        <w:t>Vul één vermelding per incident in — ook voor inbreuken die u besluit NIET te melden. Via dit register toetst een toezichthoudende autoriteit de naleving van artikel 33.</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Incidentreferentie</w:t>
            </w:r>
          </w:p>
        </w:tc>
        <w:tc>
          <w:tcPr>
            <w:tcW w:type="dxa" w:w="6192"/>
          </w:tcPr>
          <w:p>
            <w:r>
              <w:rPr>
                <w:i/>
                <w:color w:val="5A6A72"/>
                <w:sz w:val="18"/>
              </w:rPr>
              <w:t>Intern ID</w:t>
            </w:r>
          </w:p>
        </w:tc>
      </w:tr>
      <w:tr>
        <w:tc>
          <w:tcPr>
            <w:tcW w:type="dxa" w:w="3168"/>
            <w:shd w:val="clear" w:fill="F5F1E8"/>
          </w:tcPr>
          <w:p>
            <w:r>
              <w:rPr>
                <w:b/>
                <w:color w:val="0A2733"/>
                <w:sz w:val="18"/>
              </w:rPr>
              <w:t>Tijdstip van kennisname / hoe</w:t>
            </w:r>
          </w:p>
        </w:tc>
        <w:tc>
          <w:tcPr>
            <w:tcW w:type="dxa" w:w="6192"/>
          </w:tcPr>
          <w:p>
            <w:r>
              <w:rPr>
                <w:i/>
                <w:color w:val="5A6A72"/>
                <w:sz w:val="18"/>
              </w:rPr>
              <w:t>Wanneer de klok startte en wat de kennisname veroorzaakte</w:t>
            </w:r>
          </w:p>
        </w:tc>
      </w:tr>
      <w:tr>
        <w:tc>
          <w:tcPr>
            <w:tcW w:type="dxa" w:w="3168"/>
            <w:shd w:val="clear" w:fill="F5F1E8"/>
          </w:tcPr>
          <w:p>
            <w:r>
              <w:rPr>
                <w:b/>
                <w:color w:val="0A2733"/>
                <w:sz w:val="18"/>
              </w:rPr>
              <w:t>Feiten van de inbreuk</w:t>
            </w:r>
          </w:p>
        </w:tc>
        <w:tc>
          <w:tcPr>
            <w:tcW w:type="dxa" w:w="6192"/>
          </w:tcPr>
          <w:p>
            <w:r>
              <w:rPr>
                <w:i/>
                <w:color w:val="5A6A72"/>
                <w:sz w:val="18"/>
              </w:rPr>
              <w:t>Aard, oorzaak, getroffen betrokkenen en registers</w:t>
            </w:r>
          </w:p>
        </w:tc>
      </w:tr>
      <w:tr>
        <w:tc>
          <w:tcPr>
            <w:tcW w:type="dxa" w:w="3168"/>
            <w:shd w:val="clear" w:fill="F5F1E8"/>
          </w:tcPr>
          <w:p>
            <w:r>
              <w:rPr>
                <w:b/>
                <w:color w:val="0A2733"/>
                <w:sz w:val="18"/>
              </w:rPr>
              <w:t>Gevolgen</w:t>
            </w:r>
          </w:p>
        </w:tc>
        <w:tc>
          <w:tcPr>
            <w:tcW w:type="dxa" w:w="6192"/>
          </w:tcPr>
          <w:p>
            <w:r>
              <w:rPr>
                <w:i/>
                <w:color w:val="5A6A72"/>
                <w:sz w:val="18"/>
              </w:rPr>
              <w:t>Waargenomen werkelijke en waarschijnlijke gevolgen</w:t>
            </w:r>
          </w:p>
        </w:tc>
      </w:tr>
      <w:tr>
        <w:tc>
          <w:tcPr>
            <w:tcW w:type="dxa" w:w="3168"/>
            <w:shd w:val="clear" w:fill="F5F1E8"/>
          </w:tcPr>
          <w:p>
            <w:r>
              <w:rPr>
                <w:b/>
                <w:color w:val="0A2733"/>
                <w:sz w:val="18"/>
              </w:rPr>
              <w:t>Risicobeoordeling &amp; redenering</w:t>
            </w:r>
          </w:p>
        </w:tc>
        <w:tc>
          <w:tcPr>
            <w:tcW w:type="dxa" w:w="6192"/>
          </w:tcPr>
          <w:p>
            <w:r>
              <w:rPr>
                <w:i/>
                <w:color w:val="5A6A72"/>
                <w:sz w:val="18"/>
              </w:rPr>
              <w:t>Waarschijnlijk geen risico / risico / hoog risico — en waarom</w:t>
            </w:r>
          </w:p>
        </w:tc>
      </w:tr>
      <w:tr>
        <w:tc>
          <w:tcPr>
            <w:tcW w:type="dxa" w:w="3168"/>
            <w:shd w:val="clear" w:fill="F5F1E8"/>
          </w:tcPr>
          <w:p>
            <w:r>
              <w:rPr>
                <w:b/>
                <w:color w:val="0A2733"/>
                <w:sz w:val="18"/>
              </w:rPr>
              <w:t>Autoriteit geïnformeerd?</w:t>
            </w:r>
          </w:p>
        </w:tc>
        <w:tc>
          <w:tcPr>
            <w:tcW w:type="dxa" w:w="6192"/>
          </w:tcPr>
          <w:p>
            <w:r>
              <w:rPr>
                <w:i/>
                <w:color w:val="5A6A72"/>
                <w:sz w:val="18"/>
              </w:rPr>
              <w:t>Ja (datum, referentie) / Nee — redenering: waarschijnlijk geen risico</w:t>
            </w:r>
          </w:p>
        </w:tc>
      </w:tr>
      <w:tr>
        <w:tc>
          <w:tcPr>
            <w:tcW w:type="dxa" w:w="3168"/>
            <w:shd w:val="clear" w:fill="F5F1E8"/>
          </w:tcPr>
          <w:p>
            <w:r>
              <w:rPr>
                <w:b/>
                <w:color w:val="0A2733"/>
                <w:sz w:val="18"/>
              </w:rPr>
              <w:t>Betrokkenen geïnformeerd?</w:t>
            </w:r>
          </w:p>
        </w:tc>
        <w:tc>
          <w:tcPr>
            <w:tcW w:type="dxa" w:w="6192"/>
          </w:tcPr>
          <w:p>
            <w:r>
              <w:rPr>
                <w:i/>
                <w:color w:val="5A6A72"/>
                <w:sz w:val="18"/>
              </w:rPr>
              <w:t>Ja (datum, kanaal) / Nee — welke uitzondering van art. 34(3) en waarom</w:t>
            </w:r>
          </w:p>
        </w:tc>
      </w:tr>
      <w:tr>
        <w:tc>
          <w:tcPr>
            <w:tcW w:type="dxa" w:w="3168"/>
            <w:shd w:val="clear" w:fill="F5F1E8"/>
          </w:tcPr>
          <w:p>
            <w:r>
              <w:rPr>
                <w:b/>
                <w:color w:val="0A2733"/>
                <w:sz w:val="18"/>
              </w:rPr>
              <w:t>Verwerkersmelding (art. 33(2))</w:t>
            </w:r>
          </w:p>
        </w:tc>
        <w:tc>
          <w:tcPr>
            <w:tcW w:type="dxa" w:w="6192"/>
          </w:tcPr>
          <w:p>
            <w:r>
              <w:rPr>
                <w:i/>
                <w:color w:val="5A6A72"/>
                <w:sz w:val="18"/>
              </w:rPr>
              <w:t>Welke verwerker ons informeerde en wanneer — als de inbreuk bij een verwerker ontstond</w:t>
            </w:r>
          </w:p>
        </w:tc>
      </w:tr>
      <w:tr>
        <w:tc>
          <w:tcPr>
            <w:tcW w:type="dxa" w:w="3168"/>
            <w:shd w:val="clear" w:fill="F5F1E8"/>
          </w:tcPr>
          <w:p>
            <w:r>
              <w:rPr>
                <w:b/>
                <w:color w:val="0A2733"/>
                <w:sz w:val="18"/>
              </w:rPr>
              <w:t>Herstelmaatregelen</w:t>
            </w:r>
          </w:p>
        </w:tc>
        <w:tc>
          <w:tcPr>
            <w:tcW w:type="dxa" w:w="6192"/>
          </w:tcPr>
          <w:p>
            <w:r>
              <w:rPr>
                <w:i/>
                <w:color w:val="5A6A72"/>
                <w:sz w:val="18"/>
              </w:rPr>
              <w:t>Wat er als gevolg hiervan is hersteld, gewijzigd of verbeterd</w:t>
            </w:r>
          </w:p>
        </w:tc>
      </w:tr>
      <w:tr>
        <w:tc>
          <w:tcPr>
            <w:tcW w:type="dxa" w:w="3168"/>
            <w:shd w:val="clear" w:fill="F5F1E8"/>
          </w:tcPr>
          <w:p>
            <w:r>
              <w:rPr>
                <w:b/>
                <w:color w:val="0A2733"/>
                <w:sz w:val="18"/>
              </w:rPr>
              <w:t>Log van indieningen</w:t>
            </w:r>
          </w:p>
        </w:tc>
        <w:tc>
          <w:tcPr>
            <w:tcW w:type="dxa" w:w="6192"/>
          </w:tcPr>
          <w:p>
            <w:r>
              <w:rPr>
                <w:i/>
                <w:color w:val="5A6A72"/>
                <w:sz w:val="18"/>
              </w:rPr>
              <w:t>Initiële / bijgewerkte / definitieve meldingen: datums en referenties</w:t>
            </w:r>
          </w:p>
        </w:tc>
      </w:tr>
    </w:tbl>
    <w:p/>
    <w:p>
      <w:r/>
    </w:p>
    <w:p>
      <w:pPr>
        <w:pStyle w:val="Heading1"/>
      </w:pPr>
      <w:r>
        <w:t>Document D — Beslishulp melden-of-niet</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8"/>
              </w:rPr>
              <w:t>Situatie</w:t>
            </w:r>
          </w:p>
        </w:tc>
        <w:tc>
          <w:tcPr>
            <w:tcW w:type="dxa" w:w="4320"/>
            <w:shd w:val="clear" w:fill="F2C744"/>
          </w:tcPr>
          <w:p>
            <w:r>
              <w:rPr>
                <w:b/>
                <w:color w:val="0A2733"/>
                <w:sz w:val="18"/>
              </w:rPr>
              <w:t>Wat u moet produceren</w:t>
            </w:r>
          </w:p>
        </w:tc>
      </w:tr>
      <w:tr>
        <w:tc>
          <w:tcPr>
            <w:tcW w:type="dxa" w:w="4320"/>
          </w:tcPr>
          <w:p>
            <w:r>
              <w:rPr>
                <w:sz w:val="18"/>
              </w:rPr>
              <w:t>Inbreuk levert waarschijnlijk geen risico op</w:t>
            </w:r>
          </w:p>
        </w:tc>
        <w:tc>
          <w:tcPr>
            <w:tcW w:type="dxa" w:w="4320"/>
          </w:tcPr>
          <w:p>
            <w:r>
              <w:rPr>
                <w:sz w:val="18"/>
              </w:rPr>
              <w:t>Alleen document C — vastleggen met uw redenering</w:t>
            </w:r>
          </w:p>
        </w:tc>
      </w:tr>
      <w:tr>
        <w:tc>
          <w:tcPr>
            <w:tcW w:type="dxa" w:w="4320"/>
          </w:tcPr>
          <w:p>
            <w:r>
              <w:rPr>
                <w:sz w:val="18"/>
              </w:rPr>
              <w:t>Inbreuk levert waarschijnlijk een risico op</w:t>
            </w:r>
          </w:p>
        </w:tc>
        <w:tc>
          <w:tcPr>
            <w:tcW w:type="dxa" w:w="4320"/>
          </w:tcPr>
          <w:p>
            <w:r>
              <w:rPr>
                <w:sz w:val="18"/>
              </w:rPr>
              <w:t>Document A binnen 72u + document C</w:t>
            </w:r>
          </w:p>
        </w:tc>
      </w:tr>
      <w:tr>
        <w:tc>
          <w:tcPr>
            <w:tcW w:type="dxa" w:w="4320"/>
          </w:tcPr>
          <w:p>
            <w:r>
              <w:rPr>
                <w:sz w:val="18"/>
              </w:rPr>
              <w:t>Inbreuk levert waarschijnlijk een HOOG risico op</w:t>
            </w:r>
          </w:p>
        </w:tc>
        <w:tc>
          <w:tcPr>
            <w:tcW w:type="dxa" w:w="4320"/>
          </w:tcPr>
          <w:p>
            <w:r>
              <w:rPr>
                <w:sz w:val="18"/>
              </w:rPr>
              <w:t>Document A + document B zonder onredelijke vertraging + document C</w:t>
            </w:r>
          </w:p>
        </w:tc>
      </w:tr>
      <w:tr>
        <w:tc>
          <w:tcPr>
            <w:tcW w:type="dxa" w:w="4320"/>
          </w:tcPr>
          <w:p>
            <w:r>
              <w:rPr>
                <w:sz w:val="18"/>
              </w:rPr>
              <w:t>Hoog risico, maar gegevens onbegrijpelijk (bijv. versleuteld, sleutels veilig) — art. 34(3)(a)</w:t>
            </w:r>
          </w:p>
        </w:tc>
        <w:tc>
          <w:tcPr>
            <w:tcW w:type="dxa" w:w="4320"/>
          </w:tcPr>
          <w:p>
            <w:r>
              <w:rPr>
                <w:sz w:val="18"/>
              </w:rPr>
              <w:t>Document A + document C; geen document B</w:t>
            </w:r>
          </w:p>
        </w:tc>
      </w:tr>
      <w:tr>
        <w:tc>
          <w:tcPr>
            <w:tcW w:type="dxa" w:w="4320"/>
          </w:tcPr>
          <w:p>
            <w:r>
              <w:rPr>
                <w:sz w:val="18"/>
              </w:rPr>
              <w:t>Hoog risico, maar latere maatregelen namen het weg — art. 34(3)(b)</w:t>
            </w:r>
          </w:p>
        </w:tc>
        <w:tc>
          <w:tcPr>
            <w:tcW w:type="dxa" w:w="4320"/>
          </w:tcPr>
          <w:p>
            <w:r>
              <w:rPr>
                <w:sz w:val="18"/>
              </w:rPr>
              <w:t>Document A + document C; geen document B</w:t>
            </w:r>
          </w:p>
        </w:tc>
      </w:tr>
      <w:tr>
        <w:tc>
          <w:tcPr>
            <w:tcW w:type="dxa" w:w="4320"/>
          </w:tcPr>
          <w:p>
            <w:r>
              <w:rPr>
                <w:sz w:val="18"/>
              </w:rPr>
              <w:t>Individuele brieven = onevenredige inspanning — art. 34(3)(c)</w:t>
            </w:r>
          </w:p>
        </w:tc>
        <w:tc>
          <w:tcPr>
            <w:tcW w:type="dxa" w:w="4320"/>
          </w:tcPr>
          <w:p>
            <w:r>
              <w:rPr>
                <w:sz w:val="18"/>
              </w:rPr>
              <w:t>Document A + openbare mededeling + document C</w:t>
            </w:r>
          </w:p>
        </w:tc>
      </w:tr>
    </w:tbl>
    <w:p/>
    <w:p>
      <w:r>
        <w:rPr>
          <w:i/>
          <w:color w:val="5A6A72"/>
          <w:sz w:val="18"/>
        </w:rPr>
        <w:t>Let op: de toezichthoudende autoriteit kan de mededeling aan betrokkenen bevelen op grond van art. 34(4), ook waar u concludeerde dat die niet vereist was. Boetes voor schendingen van art. 33/34: tot 10 miljoen euro of 2% van de totale wereldwijde jaaromzet (art. 83(4)(a)).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6A72"/>
        <w:sz w:val="15"/>
      </w:rPr>
      <w:t>Orbiq · AVG-datalekmelding sjablonenpakket v1.0 · 2026-07-22 · orbiqhq.com/nl/sjablonen/avg-datalek-melding-sjablonenpakket · CC BY 4.0 · Geen juridisch advies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Helvetica Neue" w:hAnsi="Helvetica Neu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Helvetica Neue" w:hAnsi="Helvetica Neue"/>
      <w:b/>
      <w:bCs/>
      <w:color w:val="0A2733"/>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Helvetica Neue" w:hAnsi="Helvetica Neue"/>
      <w:b/>
      <w:bCs/>
      <w:color w:val="0A2733"/>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Helvetica Neue" w:hAnsi="Helvetica Neue"/>
      <w:b/>
      <w:bCs/>
      <w:color w:val="0A273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