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A2733"/>
          <w:sz w:val="34"/>
        </w:rPr>
        <w:t>NIS2-sjablonen voor incidentrapportage — artikel 23-pakket</w:t>
      </w:r>
    </w:p>
    <w:p>
      <w:r>
        <w:rPr>
          <w:i w:val="0"/>
        </w:rPr>
        <w:t>Kant-en-klare formulieren voor alle fasen van de NIS2-melding van significante incidenten op grond van artikel 23, lid 4, van Richtlijn (EU) 2022/2555: de vroegtijdige waarschuwing binnen 24 uur, de incidentmelding binnen 72 uur, het tussentijdse of voortgangsrapport en het eindrapport binnen één maand. De inhoudsvelden volgen artikel 23, lid 4, onder a)–e), aangevuld met de datapunten die Uitvoeringsverordening (EU) 2024/2690 van de Commissie verwacht van entiteiten in de digitale infrastructuur en de ICT-dienstverlening.</w:t>
      </w:r>
    </w:p>
    <w:p>
      <w:r>
        <w:rPr>
          <w:i/>
        </w:rPr>
        <w:t>Zo gebruikt u dit pakket: vul formulier 0 (registerregel voor het incident) één keer in en werk daarna de formulieren 1–4 af naarmate de termijnen verstrijken. Dien in via uw nationale kanaal (bijv. Duitsland: het meldportaal van het BSI; Noorwegen: de NSM of de sectorautoriteit; raadpleeg het portaal van uw CSIRT) — deze formulieren structureren de inhoud zo dat indienen neerkomt op overschrijven in plaats van opstellen.</w:t>
      </w:r>
    </w:p>
    <w:p>
      <w:r>
        <w:rPr>
          <w:i w:val="0"/>
          <w:color w:val="6B7C85"/>
          <w:sz w:val="18"/>
        </w:rPr>
        <w:t>Versie 1.0 — gepubliceerd 2026-07-14. Gratis op orbiqhq.com/templates/nis2-incident-reporting-pack. Geen juridisch advies; nationale omzettingswetten kunnen velden toevoegen of kortere sectortermijnen stellen.</w:t>
      </w:r>
    </w:p>
    <w:p>
      <w:r>
        <w:br w:type="page"/>
      </w:r>
    </w:p>
    <w:p>
      <w:r>
        <w:rPr>
          <w:b/>
          <w:color w:val="0A2733"/>
          <w:sz w:val="34"/>
        </w:rPr>
        <w:t>Formulier 0 — Registerregel voor het incident (intern)</w:t>
      </w:r>
    </w:p>
    <w:p>
      <w:r>
        <w:rPr>
          <w:i w:val="0"/>
        </w:rPr>
        <w:t>Vul dit één keer in bij detectie en houd het actueel. Dit is uw interne single source of truth die elke rapportagefase voedt.</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Intern incident-ID</w:t>
            </w:r>
          </w:p>
        </w:tc>
        <w:tc>
          <w:tcPr>
            <w:tcW w:type="dxa" w:w="5953"/>
          </w:tcPr>
          <w:p>
            <w:r>
              <w:rPr>
                <w:i/>
                <w:color w:val="6B7C85"/>
                <w:sz w:val="18"/>
              </w:rPr>
              <w:t>bijv. INC-2026-041</w:t>
            </w:r>
          </w:p>
        </w:tc>
      </w:tr>
      <w:tr>
        <w:tc>
          <w:tcPr>
            <w:tcW w:type="dxa" w:w="3685"/>
          </w:tcPr>
          <w:p>
            <w:r>
              <w:rPr>
                <w:b/>
                <w:color w:val="0A2733"/>
                <w:sz w:val="19"/>
              </w:rPr>
              <w:t>Naam en registratie van de entiteit</w:t>
            </w:r>
          </w:p>
        </w:tc>
        <w:tc>
          <w:tcPr>
            <w:tcW w:type="dxa" w:w="5953"/>
          </w:tcPr>
          <w:p>
            <w:r>
              <w:rPr>
                <w:i/>
                <w:color w:val="6B7C85"/>
                <w:sz w:val="18"/>
              </w:rPr>
              <w:t>de juridische entiteit zoals geregistreerd bij de bevoegde autoriteit</w:t>
            </w:r>
          </w:p>
        </w:tc>
      </w:tr>
      <w:tr>
        <w:tc>
          <w:tcPr>
            <w:tcW w:type="dxa" w:w="3685"/>
          </w:tcPr>
          <w:p>
            <w:r>
              <w:rPr>
                <w:b/>
                <w:color w:val="0A2733"/>
                <w:sz w:val="19"/>
              </w:rPr>
              <w:t>Classificatie van de entiteit</w:t>
            </w:r>
          </w:p>
        </w:tc>
        <w:tc>
          <w:tcPr>
            <w:tcW w:type="dxa" w:w="5953"/>
          </w:tcPr>
          <w:p>
            <w:r>
              <w:rPr>
                <w:i/>
                <w:color w:val="6B7C85"/>
                <w:sz w:val="18"/>
              </w:rPr>
              <w:t>essentiële entiteit / belangrijke entiteit; sector en subsector (bijlage I/II)</w:t>
            </w:r>
          </w:p>
        </w:tc>
      </w:tr>
      <w:tr>
        <w:tc>
          <w:tcPr>
            <w:tcW w:type="dxa" w:w="3685"/>
          </w:tcPr>
          <w:p>
            <w:r>
              <w:rPr>
                <w:b/>
                <w:color w:val="0A2733"/>
                <w:sz w:val="19"/>
              </w:rPr>
              <w:t>Incident commander</w:t>
            </w:r>
          </w:p>
        </w:tc>
        <w:tc>
          <w:tcPr>
            <w:tcW w:type="dxa" w:w="5953"/>
          </w:tcPr>
          <w:p>
            <w:r>
              <w:rPr>
                <w:i/>
                <w:color w:val="6B7C85"/>
                <w:sz w:val="18"/>
              </w:rPr>
              <w:t>naam, rol, telefoon, e-mail</w:t>
            </w:r>
          </w:p>
        </w:tc>
      </w:tr>
      <w:tr>
        <w:tc>
          <w:tcPr>
            <w:tcW w:type="dxa" w:w="3685"/>
          </w:tcPr>
          <w:p>
            <w:r>
              <w:rPr>
                <w:b/>
                <w:color w:val="0A2733"/>
                <w:sz w:val="19"/>
              </w:rPr>
              <w:t>Meldingsverantwoordelijke</w:t>
            </w:r>
          </w:p>
        </w:tc>
        <w:tc>
          <w:tcPr>
            <w:tcW w:type="dxa" w:w="5953"/>
          </w:tcPr>
          <w:p>
            <w:r>
              <w:rPr>
                <w:i/>
                <w:color w:val="6B7C85"/>
                <w:sz w:val="18"/>
              </w:rPr>
              <w:t>de persoon die de rapporten indient bij het CSIRT of de bevoegde autoriteit</w:t>
            </w:r>
          </w:p>
        </w:tc>
      </w:tr>
      <w:tr>
        <w:tc>
          <w:tcPr>
            <w:tcW w:type="dxa" w:w="3685"/>
          </w:tcPr>
          <w:p>
            <w:r>
              <w:rPr>
                <w:b/>
                <w:color w:val="0A2733"/>
                <w:sz w:val="19"/>
              </w:rPr>
              <w:t>Datum en tijd van detectie (met tijdzone)</w:t>
            </w:r>
          </w:p>
        </w:tc>
        <w:tc>
          <w:tcPr>
            <w:tcW w:type="dxa" w:w="5953"/>
          </w:tcPr>
          <w:p>
            <w:r>
              <w:rPr>
                <w:i/>
                <w:color w:val="6B7C85"/>
                <w:sz w:val="18"/>
              </w:rPr>
              <w:t>het moment waarop de entiteit KENNIS kreeg — dit start de klok van 24 uur</w:t>
            </w:r>
          </w:p>
        </w:tc>
      </w:tr>
      <w:tr>
        <w:tc>
          <w:tcPr>
            <w:tcW w:type="dxa" w:w="3685"/>
          </w:tcPr>
          <w:p>
            <w:r>
              <w:rPr>
                <w:b/>
                <w:color w:val="0A2733"/>
                <w:sz w:val="19"/>
              </w:rPr>
              <w:t>Detectiebron</w:t>
            </w:r>
          </w:p>
        </w:tc>
        <w:tc>
          <w:tcPr>
            <w:tcW w:type="dxa" w:w="5953"/>
          </w:tcPr>
          <w:p>
            <w:r>
              <w:rPr>
                <w:i/>
                <w:color w:val="6B7C85"/>
                <w:sz w:val="18"/>
              </w:rPr>
              <w:t>monitoringalert / melding door medewerker / melding door klant / derde partij / autoriteit</w:t>
            </w:r>
          </w:p>
        </w:tc>
      </w:tr>
      <w:tr>
        <w:tc>
          <w:tcPr>
            <w:tcW w:type="dxa" w:w="3685"/>
          </w:tcPr>
          <w:p>
            <w:r>
              <w:rPr>
                <w:b/>
                <w:color w:val="0A2733"/>
                <w:sz w:val="19"/>
              </w:rPr>
              <w:t>Geraakte diensten en systemen</w:t>
            </w:r>
          </w:p>
        </w:tc>
        <w:tc>
          <w:tcPr>
            <w:tcW w:type="dxa" w:w="5953"/>
          </w:tcPr>
          <w:p>
            <w:r>
              <w:rPr>
                <w:i/>
                <w:color w:val="6B7C85"/>
                <w:sz w:val="18"/>
              </w:rPr>
              <w:t>namen van diensten, omgevingen, regio's</w:t>
            </w:r>
          </w:p>
        </w:tc>
      </w:tr>
      <w:tr>
        <w:tc>
          <w:tcPr>
            <w:tcW w:type="dxa" w:w="3685"/>
          </w:tcPr>
          <w:p>
            <w:r>
              <w:rPr>
                <w:b/>
                <w:color w:val="0A2733"/>
                <w:sz w:val="19"/>
              </w:rPr>
              <w:t>Beoordeling van de significantie</w:t>
            </w:r>
          </w:p>
        </w:tc>
        <w:tc>
          <w:tcPr>
            <w:tcW w:type="dxa" w:w="5953"/>
          </w:tcPr>
          <w:p>
            <w:r>
              <w:rPr>
                <w:i/>
                <w:color w:val="6B7C85"/>
                <w:sz w:val="18"/>
              </w:rPr>
              <w:t>welk onderdeel van art. 23, lid 3 (ernstige verstoring van de dienstverlening of financiële verliezen / aanzienlijke schade voor anderen) of welk criterium uit UV 2024/2690 is vervuld, en waarom</w:t>
            </w:r>
          </w:p>
        </w:tc>
      </w:tr>
      <w:tr>
        <w:tc>
          <w:tcPr>
            <w:tcW w:type="dxa" w:w="3685"/>
          </w:tcPr>
          <w:p>
            <w:r>
              <w:rPr>
                <w:b/>
                <w:color w:val="0A2733"/>
                <w:sz w:val="19"/>
              </w:rPr>
              <w:t>Grensoverschrijdende relevantie</w:t>
            </w:r>
          </w:p>
        </w:tc>
        <w:tc>
          <w:tcPr>
            <w:tcW w:type="dxa" w:w="5953"/>
          </w:tcPr>
          <w:p>
            <w:r>
              <w:rPr>
                <w:i/>
                <w:color w:val="6B7C85"/>
                <w:sz w:val="18"/>
              </w:rPr>
              <w:t>lidstaten of entiteiten in andere lidstaten die geraakt zijn of dat mogelijk zijn</w:t>
            </w:r>
          </w:p>
        </w:tc>
      </w:tr>
      <w:tr>
        <w:tc>
          <w:tcPr>
            <w:tcW w:type="dxa" w:w="3685"/>
          </w:tcPr>
          <w:p>
            <w:r>
              <w:rPr>
                <w:b/>
                <w:color w:val="0A2733"/>
                <w:sz w:val="19"/>
              </w:rPr>
              <w:t>Rapportagelogboek</w:t>
            </w:r>
          </w:p>
        </w:tc>
        <w:tc>
          <w:tcPr>
            <w:tcW w:type="dxa" w:w="5953"/>
          </w:tcPr>
          <w:p>
            <w:r>
              <w:rPr>
                <w:i/>
                <w:color w:val="6B7C85"/>
                <w:sz w:val="18"/>
              </w:rPr>
              <w:t>fase / ingediend op / kanaal / referentienummer teruggegeven door de autoriteit</w:t>
            </w:r>
          </w:p>
        </w:tc>
      </w:tr>
    </w:tbl>
    <w:p>
      <w:r>
        <w:br w:type="page"/>
      </w:r>
    </w:p>
    <w:p>
      <w:r>
        <w:rPr>
          <w:b/>
          <w:color w:val="0A2733"/>
          <w:sz w:val="34"/>
        </w:rPr>
        <w:t>Formulier 1 — Vroegtijdige waarschuwing (binnen 24 uur)</w:t>
      </w:r>
    </w:p>
    <w:p>
      <w:r>
        <w:rPr>
          <w:i w:val="0"/>
        </w:rPr>
        <w:t>Artikel 23, lid 4, onder a): dien in zonder onnodige vertraging en in elk geval binnen 24 uur na kennisname van het significante incident. De vroegtijdige waarschuwing is bewust licht gehouden — wacht niet op de analyse om haar in te vullen.</w:t>
      </w:r>
    </w:p>
    <w:p>
      <w:r>
        <w:rPr>
          <w:b/>
          <w:color w:val="0A2733"/>
          <w:sz w:val="26"/>
        </w:rPr>
        <w:t>1. Meldende entiteit</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Naam van de entiteit / ID bij de autoriteit</w:t>
            </w:r>
          </w:p>
        </w:tc>
        <w:tc>
          <w:tcPr>
            <w:tcW w:type="dxa" w:w="5953"/>
          </w:tcPr>
          <w:p>
            <w:r>
              <w:rPr>
                <w:i/>
                <w:color w:val="6B7C85"/>
                <w:sz w:val="18"/>
              </w:rPr>
            </w:r>
          </w:p>
        </w:tc>
      </w:tr>
      <w:tr>
        <w:tc>
          <w:tcPr>
            <w:tcW w:type="dxa" w:w="3685"/>
          </w:tcPr>
          <w:p>
            <w:r>
              <w:rPr>
                <w:b/>
                <w:color w:val="0A2733"/>
                <w:sz w:val="19"/>
              </w:rPr>
              <w:t>Contactpersoon voor dit incident</w:t>
            </w:r>
          </w:p>
        </w:tc>
        <w:tc>
          <w:tcPr>
            <w:tcW w:type="dxa" w:w="5953"/>
          </w:tcPr>
          <w:p>
            <w:r>
              <w:rPr>
                <w:i/>
                <w:color w:val="6B7C85"/>
                <w:sz w:val="18"/>
              </w:rPr>
              <w:t>naam, telefoon, e-mail — 24/7 bereikbaar</w:t>
            </w:r>
          </w:p>
        </w:tc>
      </w:tr>
    </w:tbl>
    <w:p>
      <w:r>
        <w:rPr>
          <w:b/>
          <w:color w:val="0A2733"/>
          <w:sz w:val="26"/>
        </w:rPr>
        <w:t>2. Samenvatting van het incident</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Intern incident-ID</w:t>
            </w:r>
          </w:p>
        </w:tc>
        <w:tc>
          <w:tcPr>
            <w:tcW w:type="dxa" w:w="5953"/>
          </w:tcPr>
          <w:p>
            <w:r>
              <w:rPr>
                <w:i/>
                <w:color w:val="6B7C85"/>
                <w:sz w:val="18"/>
              </w:rPr>
            </w:r>
          </w:p>
        </w:tc>
      </w:tr>
      <w:tr>
        <w:tc>
          <w:tcPr>
            <w:tcW w:type="dxa" w:w="3685"/>
          </w:tcPr>
          <w:p>
            <w:r>
              <w:rPr>
                <w:b/>
                <w:color w:val="0A2733"/>
                <w:sz w:val="19"/>
              </w:rPr>
              <w:t>Datum/tijd van kennisname</w:t>
            </w:r>
          </w:p>
        </w:tc>
        <w:tc>
          <w:tcPr>
            <w:tcW w:type="dxa" w:w="5953"/>
          </w:tcPr>
          <w:p>
            <w:r>
              <w:rPr>
                <w:i/>
                <w:color w:val="6B7C85"/>
                <w:sz w:val="18"/>
              </w:rPr>
              <w:t>tijdzone expliciet vermelden</w:t>
            </w:r>
          </w:p>
        </w:tc>
      </w:tr>
      <w:tr>
        <w:tc>
          <w:tcPr>
            <w:tcW w:type="dxa" w:w="3685"/>
          </w:tcPr>
          <w:p>
            <w:r>
              <w:rPr>
                <w:b/>
                <w:color w:val="0A2733"/>
                <w:sz w:val="19"/>
              </w:rPr>
              <w:t>Korte beschrijving</w:t>
            </w:r>
          </w:p>
        </w:tc>
        <w:tc>
          <w:tcPr>
            <w:tcW w:type="dxa" w:w="5953"/>
          </w:tcPr>
          <w:p>
            <w:r>
              <w:rPr>
                <w:i/>
                <w:color w:val="6B7C85"/>
                <w:sz w:val="18"/>
              </w:rPr>
              <w:t>2–4 zinnen: wat is geraakt, wat is de huidige status</w:t>
            </w:r>
          </w:p>
        </w:tc>
      </w:tr>
      <w:tr>
        <w:tc>
          <w:tcPr>
            <w:tcW w:type="dxa" w:w="3685"/>
          </w:tcPr>
          <w:p>
            <w:r>
              <w:rPr>
                <w:b/>
                <w:color w:val="0A2733"/>
                <w:sz w:val="19"/>
              </w:rPr>
              <w:t>Geraakte diensten</w:t>
            </w:r>
          </w:p>
        </w:tc>
        <w:tc>
          <w:tcPr>
            <w:tcW w:type="dxa" w:w="5953"/>
          </w:tcPr>
          <w:p>
            <w:r>
              <w:rPr>
                <w:i/>
                <w:color w:val="6B7C85"/>
                <w:sz w:val="18"/>
              </w:rPr>
            </w:r>
          </w:p>
        </w:tc>
      </w:tr>
    </w:tbl>
    <w:p>
      <w:r>
        <w:rPr>
          <w:b/>
          <w:color w:val="0A2733"/>
          <w:sz w:val="26"/>
        </w:rPr>
        <w:t>3. Verplichte indicaties bij de vroegtijdige waarschuwing — art. 23, lid 4, onder a)</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Vermoeden van een onrechtmatige of kwaadwillige oorzaak?</w:t>
            </w:r>
          </w:p>
        </w:tc>
        <w:tc>
          <w:tcPr>
            <w:tcW w:type="dxa" w:w="5953"/>
          </w:tcPr>
          <w:p>
            <w:r>
              <w:rPr>
                <w:i/>
                <w:color w:val="6B7C85"/>
                <w:sz w:val="18"/>
              </w:rPr>
              <w:t>ja / nee / onbekend — met één regel onderbouwing</w:t>
            </w:r>
          </w:p>
        </w:tc>
      </w:tr>
      <w:tr>
        <w:tc>
          <w:tcPr>
            <w:tcW w:type="dxa" w:w="3685"/>
          </w:tcPr>
          <w:p>
            <w:r>
              <w:rPr>
                <w:b/>
                <w:color w:val="0A2733"/>
                <w:sz w:val="19"/>
              </w:rPr>
              <w:t>Kan het incident grensoverschrijdende impact hebben?</w:t>
            </w:r>
          </w:p>
        </w:tc>
        <w:tc>
          <w:tcPr>
            <w:tcW w:type="dxa" w:w="5953"/>
          </w:tcPr>
          <w:p>
            <w:r>
              <w:rPr>
                <w:i/>
                <w:color w:val="6B7C85"/>
                <w:sz w:val="18"/>
              </w:rPr>
              <w:t>ja / nee / onbekend — noem de mogelijk geraakte lidstaten indien bekend</w:t>
            </w:r>
          </w:p>
        </w:tc>
      </w:tr>
    </w:tbl>
    <w:p>
      <w:r>
        <w:rPr>
          <w:b/>
          <w:color w:val="0A2733"/>
          <w:sz w:val="26"/>
        </w:rPr>
        <w:t>4. Optioneel in deze fase</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Ondersteuning gevraagd?</w:t>
            </w:r>
          </w:p>
        </w:tc>
        <w:tc>
          <w:tcPr>
            <w:tcW w:type="dxa" w:w="5953"/>
          </w:tcPr>
          <w:p>
            <w:r>
              <w:rPr>
                <w:i/>
                <w:color w:val="6B7C85"/>
                <w:sz w:val="18"/>
              </w:rPr>
              <w:t>entiteiten kunnen ondersteuning of begeleiding van het CSIRT vragen</w:t>
            </w:r>
          </w:p>
        </w:tc>
      </w:tr>
      <w:tr>
        <w:tc>
          <w:tcPr>
            <w:tcW w:type="dxa" w:w="3685"/>
          </w:tcPr>
          <w:p>
            <w:r>
              <w:rPr>
                <w:b/>
                <w:color w:val="0A2733"/>
                <w:sz w:val="19"/>
              </w:rPr>
              <w:t>Nog lopend / ingedamd?</w:t>
            </w:r>
          </w:p>
        </w:tc>
        <w:tc>
          <w:tcPr>
            <w:tcW w:type="dxa" w:w="5953"/>
          </w:tcPr>
          <w:p>
            <w:r>
              <w:rPr>
                <w:i/>
                <w:color w:val="6B7C85"/>
                <w:sz w:val="18"/>
              </w:rPr>
            </w:r>
          </w:p>
        </w:tc>
      </w:tr>
    </w:tbl>
    <w:p>
      <w:r>
        <w:br w:type="page"/>
      </w:r>
    </w:p>
    <w:p>
      <w:r>
        <w:rPr>
          <w:b/>
          <w:color w:val="0A2733"/>
          <w:sz w:val="34"/>
        </w:rPr>
        <w:t>Formulier 2 — Incidentmelding (binnen 72 uur)</w:t>
      </w:r>
    </w:p>
    <w:p>
      <w:r>
        <w:rPr>
          <w:i w:val="0"/>
        </w:rPr>
        <w:t>Artikel 23, lid 4, onder b): dien in zonder onnodige vertraging en in elk geval binnen 72 uur na kennisname. Dit actualiseert de vroegtijdige waarschuwing en voegt een eerste beoordeling toe. Voor aanbieders van vertrouwensdiensten kan het nationale recht deze melding binnen 24 uur verlangen.</w:t>
      </w:r>
    </w:p>
    <w:p>
      <w:r>
        <w:rPr>
          <w:b/>
          <w:color w:val="0A2733"/>
          <w:sz w:val="26"/>
        </w:rPr>
        <w:t>1. Referentie</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Intern incident-ID / referentie van de vroegtijdige waarschuwing</w:t>
            </w:r>
          </w:p>
        </w:tc>
        <w:tc>
          <w:tcPr>
            <w:tcW w:type="dxa" w:w="5953"/>
          </w:tcPr>
          <w:p>
            <w:r>
              <w:rPr>
                <w:i/>
                <w:color w:val="6B7C85"/>
                <w:sz w:val="18"/>
              </w:rPr>
              <w:t>het referentienummer van de autoriteit uit formulier 1</w:t>
            </w:r>
          </w:p>
        </w:tc>
      </w:tr>
      <w:tr>
        <w:tc>
          <w:tcPr>
            <w:tcW w:type="dxa" w:w="3685"/>
          </w:tcPr>
          <w:p>
            <w:r>
              <w:rPr>
                <w:b/>
                <w:color w:val="0A2733"/>
                <w:sz w:val="19"/>
              </w:rPr>
              <w:t>Wijzigingen sinds de vroegtijdige waarschuwing</w:t>
            </w:r>
          </w:p>
        </w:tc>
        <w:tc>
          <w:tcPr>
            <w:tcW w:type="dxa" w:w="5953"/>
          </w:tcPr>
          <w:p>
            <w:r>
              <w:rPr>
                <w:i/>
                <w:color w:val="6B7C85"/>
                <w:sz w:val="18"/>
              </w:rPr>
              <w:t>samenvatting van wat nieuw of gecorrigeerd is</w:t>
            </w:r>
          </w:p>
        </w:tc>
      </w:tr>
    </w:tbl>
    <w:p>
      <w:r>
        <w:rPr>
          <w:b/>
          <w:color w:val="0A2733"/>
          <w:sz w:val="26"/>
        </w:rPr>
        <w:t>2. Eerste beoordeling — art. 23, lid 4, onder b)</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Beoordeling van de ernst</w:t>
            </w:r>
          </w:p>
        </w:tc>
        <w:tc>
          <w:tcPr>
            <w:tcW w:type="dxa" w:w="5953"/>
          </w:tcPr>
          <w:p>
            <w:r>
              <w:rPr>
                <w:i/>
                <w:color w:val="6B7C85"/>
                <w:sz w:val="18"/>
              </w:rPr>
              <w:t>reikwijdte van de verstoring, geraakte gebruikers/afnemers, duur tot nu toe</w:t>
            </w:r>
          </w:p>
        </w:tc>
      </w:tr>
      <w:tr>
        <w:tc>
          <w:tcPr>
            <w:tcW w:type="dxa" w:w="3685"/>
          </w:tcPr>
          <w:p>
            <w:r>
              <w:rPr>
                <w:b/>
                <w:color w:val="0A2733"/>
                <w:sz w:val="19"/>
              </w:rPr>
              <w:t>Beoordeling van de impact</w:t>
            </w:r>
          </w:p>
        </w:tc>
        <w:tc>
          <w:tcPr>
            <w:tcW w:type="dxa" w:w="5953"/>
          </w:tcPr>
          <w:p>
            <w:r>
              <w:rPr>
                <w:i/>
                <w:color w:val="6B7C85"/>
                <w:sz w:val="18"/>
              </w:rPr>
              <w:t>operationeel, financieel (schatting), effecten op vertrouwelijkheid/integriteit/beschikbaarheid van gegevens</w:t>
            </w:r>
          </w:p>
        </w:tc>
      </w:tr>
      <w:tr>
        <w:tc>
          <w:tcPr>
            <w:tcW w:type="dxa" w:w="3685"/>
          </w:tcPr>
          <w:p>
            <w:r>
              <w:rPr>
                <w:b/>
                <w:color w:val="0A2733"/>
                <w:sz w:val="19"/>
              </w:rPr>
              <w:t>Indicatoren van compromittering (voor zover beschikbaar)</w:t>
            </w:r>
          </w:p>
        </w:tc>
        <w:tc>
          <w:tcPr>
            <w:tcW w:type="dxa" w:w="5953"/>
          </w:tcPr>
          <w:p>
            <w:r>
              <w:rPr>
                <w:i/>
                <w:color w:val="6B7C85"/>
                <w:sz w:val="18"/>
              </w:rPr>
              <w:t>IoC's: hashes, IP-adressen, domeinen, TTP's — voeg een gestructureerd bestand bij als de lijst lang is</w:t>
            </w:r>
          </w:p>
        </w:tc>
      </w:tr>
      <w:tr>
        <w:tc>
          <w:tcPr>
            <w:tcW w:type="dxa" w:w="3685"/>
          </w:tcPr>
          <w:p>
            <w:r>
              <w:rPr>
                <w:b/>
                <w:color w:val="0A2733"/>
                <w:sz w:val="19"/>
              </w:rPr>
              <w:t>Vervulde significantiecriteria</w:t>
            </w:r>
          </w:p>
        </w:tc>
        <w:tc>
          <w:tcPr>
            <w:tcW w:type="dxa" w:w="5953"/>
          </w:tcPr>
          <w:p>
            <w:r>
              <w:rPr>
                <w:i/>
                <w:color w:val="6B7C85"/>
                <w:sz w:val="18"/>
              </w:rPr>
              <w:t>de onderdelen van art. 23, lid 3, en waar van toepassing het criterium uit UV (EU) 2024/2690 (bijv. directe financiële verliezen van meer dan EUR 500.000 of 5% van de jaaromzet, afhankelijk van welk bedrag lager is)</w:t>
            </w:r>
          </w:p>
        </w:tc>
      </w:tr>
    </w:tbl>
    <w:p>
      <w:r>
        <w:rPr>
          <w:b/>
          <w:color w:val="0A2733"/>
          <w:sz w:val="26"/>
        </w:rPr>
        <w:t>3. Status van de respons</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Genomen indammings- of mitigatiemaatregelen</w:t>
            </w:r>
          </w:p>
        </w:tc>
        <w:tc>
          <w:tcPr>
            <w:tcW w:type="dxa" w:w="5953"/>
          </w:tcPr>
          <w:p>
            <w:r>
              <w:rPr>
                <w:i/>
                <w:color w:val="6B7C85"/>
                <w:sz w:val="18"/>
              </w:rPr>
            </w:r>
          </w:p>
        </w:tc>
      </w:tr>
      <w:tr>
        <w:tc>
          <w:tcPr>
            <w:tcW w:type="dxa" w:w="3685"/>
          </w:tcPr>
          <w:p>
            <w:r>
              <w:rPr>
                <w:b/>
                <w:color w:val="0A2733"/>
                <w:sz w:val="19"/>
              </w:rPr>
              <w:t>Actualisering grensoverschrijdende impact</w:t>
            </w:r>
          </w:p>
        </w:tc>
        <w:tc>
          <w:tcPr>
            <w:tcW w:type="dxa" w:w="5953"/>
          </w:tcPr>
          <w:p>
            <w:r>
              <w:rPr>
                <w:i/>
                <w:color w:val="6B7C85"/>
                <w:sz w:val="18"/>
              </w:rPr>
              <w:t>geraakte lidstaten / geïnformeerde partijen</w:t>
            </w:r>
          </w:p>
        </w:tc>
      </w:tr>
      <w:tr>
        <w:tc>
          <w:tcPr>
            <w:tcW w:type="dxa" w:w="3685"/>
          </w:tcPr>
          <w:p>
            <w:r>
              <w:rPr>
                <w:b/>
                <w:color w:val="0A2733"/>
                <w:sz w:val="19"/>
              </w:rPr>
              <w:t>Communicatie richting afnemers van de dienst</w:t>
            </w:r>
          </w:p>
        </w:tc>
        <w:tc>
          <w:tcPr>
            <w:tcW w:type="dxa" w:w="5953"/>
          </w:tcPr>
          <w:p>
            <w:r>
              <w:rPr>
                <w:i/>
                <w:color w:val="6B7C85"/>
                <w:sz w:val="18"/>
              </w:rPr>
              <w:t>of afnemers zijn geïnformeerd over het incident of over maatregelen die zij kunnen nemen (art. 23, leden 1–2); vermeld een eventueel bevel van de autoriteit om het publiek te informeren</w:t>
            </w:r>
          </w:p>
        </w:tc>
      </w:tr>
    </w:tbl>
    <w:p>
      <w:r>
        <w:br w:type="page"/>
      </w:r>
    </w:p>
    <w:p>
      <w:r>
        <w:rPr>
          <w:b/>
          <w:color w:val="0A2733"/>
          <w:sz w:val="34"/>
        </w:rPr>
        <w:t>Formulier 3 — Tussentijds rapport / voortgangsrapport (op verzoek, of bij één maand als het incident nog loopt)</w:t>
      </w:r>
    </w:p>
    <w:p>
      <w:r>
        <w:rPr>
          <w:i w:val="0"/>
        </w:rPr>
        <w:t>Artikel 23, lid 4, onder c): een CSIRT of bevoegde autoriteit kan een tussentijds rapport met relevante statusupdates opvragen. Artikel 23, lid 4, onder e): loopt het incident nog wanneer het eindrapport verschuldigd is, dien dan in plaats daarvan een voortgangsrapport in, en het eindrapport binnen één maand nadat de afhandeling van het incident is afgerond.</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Referentie</w:t>
            </w:r>
          </w:p>
        </w:tc>
        <w:tc>
          <w:tcPr>
            <w:tcW w:type="dxa" w:w="5953"/>
          </w:tcPr>
          <w:p>
            <w:r>
              <w:rPr>
                <w:i/>
                <w:color w:val="6B7C85"/>
                <w:sz w:val="18"/>
              </w:rPr>
              <w:t>incident-ID + referenties van eerdere rapporten</w:t>
            </w:r>
          </w:p>
        </w:tc>
      </w:tr>
      <w:tr>
        <w:tc>
          <w:tcPr>
            <w:tcW w:type="dxa" w:w="3685"/>
          </w:tcPr>
          <w:p>
            <w:r>
              <w:rPr>
                <w:b/>
                <w:color w:val="0A2733"/>
                <w:sz w:val="19"/>
              </w:rPr>
              <w:t>Opgevraagd door / aanleiding</w:t>
            </w:r>
          </w:p>
        </w:tc>
        <w:tc>
          <w:tcPr>
            <w:tcW w:type="dxa" w:w="5953"/>
          </w:tcPr>
          <w:p>
            <w:r>
              <w:rPr>
                <w:i/>
                <w:color w:val="6B7C85"/>
                <w:sz w:val="18"/>
              </w:rPr>
              <w:t>verzoek van de autoriteit, of het bereiken van de maandgrens terwijl het incident nog loopt</w:t>
            </w:r>
          </w:p>
        </w:tc>
      </w:tr>
      <w:tr>
        <w:tc>
          <w:tcPr>
            <w:tcW w:type="dxa" w:w="3685"/>
          </w:tcPr>
          <w:p>
            <w:r>
              <w:rPr>
                <w:b/>
                <w:color w:val="0A2733"/>
                <w:sz w:val="19"/>
              </w:rPr>
              <w:t>Statusupdate</w:t>
            </w:r>
          </w:p>
        </w:tc>
        <w:tc>
          <w:tcPr>
            <w:tcW w:type="dxa" w:w="5953"/>
          </w:tcPr>
          <w:p>
            <w:r>
              <w:rPr>
                <w:i/>
                <w:color w:val="6B7C85"/>
                <w:sz w:val="18"/>
              </w:rPr>
              <w:t>huidige operationele toestand; diensten hersteld / verminderd / uit</w:t>
            </w:r>
          </w:p>
        </w:tc>
      </w:tr>
      <w:tr>
        <w:tc>
          <w:tcPr>
            <w:tcW w:type="dxa" w:w="3685"/>
          </w:tcPr>
          <w:p>
            <w:r>
              <w:rPr>
                <w:b/>
                <w:color w:val="0A2733"/>
                <w:sz w:val="19"/>
              </w:rPr>
              <w:t>Geactualiseerde impactcijfers</w:t>
            </w:r>
          </w:p>
        </w:tc>
        <w:tc>
          <w:tcPr>
            <w:tcW w:type="dxa" w:w="5953"/>
          </w:tcPr>
          <w:p>
            <w:r>
              <w:rPr>
                <w:i/>
                <w:color w:val="6B7C85"/>
                <w:sz w:val="18"/>
              </w:rPr>
              <w:t>geraakte gebruikers, downtime, financiële schatting</w:t>
            </w:r>
          </w:p>
        </w:tc>
      </w:tr>
      <w:tr>
        <w:tc>
          <w:tcPr>
            <w:tcW w:type="dxa" w:w="3685"/>
          </w:tcPr>
          <w:p>
            <w:r>
              <w:rPr>
                <w:b/>
                <w:color w:val="0A2733"/>
                <w:sz w:val="19"/>
              </w:rPr>
              <w:t>Nieuwe bevindingen</w:t>
            </w:r>
          </w:p>
        </w:tc>
        <w:tc>
          <w:tcPr>
            <w:tcW w:type="dxa" w:w="5953"/>
          </w:tcPr>
          <w:p>
            <w:r>
              <w:rPr>
                <w:i/>
                <w:color w:val="6B7C85"/>
                <w:sz w:val="18"/>
              </w:rPr>
              <w:t>voortgang op de onderliggende oorzaak, nieuwe IoC's, wijzigingen in de reikwijdte</w:t>
            </w:r>
          </w:p>
        </w:tc>
      </w:tr>
      <w:tr>
        <w:tc>
          <w:tcPr>
            <w:tcW w:type="dxa" w:w="3685"/>
          </w:tcPr>
          <w:p>
            <w:r>
              <w:rPr>
                <w:b/>
                <w:color w:val="0A2733"/>
                <w:sz w:val="19"/>
              </w:rPr>
              <w:t>Volgende stappen en verwachte tijdlijn</w:t>
            </w:r>
          </w:p>
        </w:tc>
        <w:tc>
          <w:tcPr>
            <w:tcW w:type="dxa" w:w="5953"/>
          </w:tcPr>
          <w:p>
            <w:r>
              <w:rPr>
                <w:i/>
                <w:color w:val="6B7C85"/>
                <w:sz w:val="18"/>
              </w:rPr>
            </w:r>
          </w:p>
        </w:tc>
      </w:tr>
    </w:tbl>
    <w:p>
      <w:r>
        <w:br w:type="page"/>
      </w:r>
    </w:p>
    <w:p>
      <w:r>
        <w:rPr>
          <w:b/>
          <w:color w:val="0A2733"/>
          <w:sz w:val="34"/>
        </w:rPr>
        <w:t>Formulier 4 — Eindrapport (binnen één maand na de melding van 72 uur)</w:t>
      </w:r>
    </w:p>
    <w:p>
      <w:r>
        <w:rPr>
          <w:i w:val="0"/>
        </w:rPr>
        <w:t>Artikel 23, lid 4, onder d): dien uiterlijk één maand na de incidentmelding van formulier 2 in. Alle vier de onderstaande inhoudselementen zijn verplicht.</w:t>
      </w:r>
    </w:p>
    <w:p>
      <w:r>
        <w:rPr>
          <w:b/>
          <w:color w:val="0A2733"/>
          <w:sz w:val="26"/>
        </w:rPr>
        <w:t>1. Gedetailleerde beschrijving — art. 23, lid 4, onder d), i)</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Verhaal van het incident</w:t>
            </w:r>
          </w:p>
        </w:tc>
        <w:tc>
          <w:tcPr>
            <w:tcW w:type="dxa" w:w="5953"/>
          </w:tcPr>
          <w:p>
            <w:r>
              <w:rPr>
                <w:i/>
                <w:color w:val="6B7C85"/>
                <w:sz w:val="18"/>
              </w:rPr>
              <w:t>tijdlijn van de eerste compromittering tot de oplossing</w:t>
            </w:r>
          </w:p>
        </w:tc>
      </w:tr>
      <w:tr>
        <w:tc>
          <w:tcPr>
            <w:tcW w:type="dxa" w:w="3685"/>
          </w:tcPr>
          <w:p>
            <w:r>
              <w:rPr>
                <w:b/>
                <w:color w:val="0A2733"/>
                <w:sz w:val="19"/>
              </w:rPr>
              <w:t>Ernst en impact</w:t>
            </w:r>
          </w:p>
        </w:tc>
        <w:tc>
          <w:tcPr>
            <w:tcW w:type="dxa" w:w="5953"/>
          </w:tcPr>
          <w:p>
            <w:r>
              <w:rPr>
                <w:i/>
                <w:color w:val="6B7C85"/>
                <w:sz w:val="18"/>
              </w:rPr>
              <w:t>definitieve cijfers: duur, geraakte gebruikers/afnemers, geraakte gegevens, financiële verliezen</w:t>
            </w:r>
          </w:p>
        </w:tc>
      </w:tr>
    </w:tbl>
    <w:p>
      <w:r>
        <w:rPr>
          <w:b/>
          <w:color w:val="0A2733"/>
          <w:sz w:val="26"/>
        </w:rPr>
        <w:t>2. Dreiging en onderliggende oorzaak — art. 23, lid 4, onder d), ii)</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Type dreiging</w:t>
            </w:r>
          </w:p>
        </w:tc>
        <w:tc>
          <w:tcPr>
            <w:tcW w:type="dxa" w:w="5953"/>
          </w:tcPr>
          <w:p>
            <w:r>
              <w:rPr>
                <w:i/>
                <w:color w:val="6B7C85"/>
                <w:sz w:val="18"/>
              </w:rPr>
              <w:t>bijv. ransomware, compromittering van de toeleveringsketen, DDoS, verkeerde configuratie</w:t>
            </w:r>
          </w:p>
        </w:tc>
      </w:tr>
      <w:tr>
        <w:tc>
          <w:tcPr>
            <w:tcW w:type="dxa" w:w="3685"/>
          </w:tcPr>
          <w:p>
            <w:r>
              <w:rPr>
                <w:b/>
                <w:color w:val="0A2733"/>
                <w:sz w:val="19"/>
              </w:rPr>
              <w:t>Onderliggende oorzaak</w:t>
            </w:r>
          </w:p>
        </w:tc>
        <w:tc>
          <w:tcPr>
            <w:tcW w:type="dxa" w:w="5953"/>
          </w:tcPr>
          <w:p>
            <w:r>
              <w:rPr>
                <w:i/>
                <w:color w:val="6B7C85"/>
                <w:sz w:val="18"/>
              </w:rPr>
              <w:t>de waarschijnlijke aanleiding, met bewijs</w:t>
            </w:r>
          </w:p>
        </w:tc>
      </w:tr>
    </w:tbl>
    <w:p>
      <w:r>
        <w:rPr>
          <w:b/>
          <w:color w:val="0A2733"/>
          <w:sz w:val="26"/>
        </w:rPr>
        <w:t>3. Mitigatie — art. 23, lid 4, onder d), iii)</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Toegepaste maatregelen</w:t>
            </w:r>
          </w:p>
        </w:tc>
        <w:tc>
          <w:tcPr>
            <w:tcW w:type="dxa" w:w="5953"/>
          </w:tcPr>
          <w:p>
            <w:r>
              <w:rPr>
                <w:i/>
                <w:color w:val="6B7C85"/>
                <w:sz w:val="18"/>
              </w:rPr>
              <w:t>afgerond herstel</w:t>
            </w:r>
          </w:p>
        </w:tc>
      </w:tr>
      <w:tr>
        <w:tc>
          <w:tcPr>
            <w:tcW w:type="dxa" w:w="3685"/>
          </w:tcPr>
          <w:p>
            <w:r>
              <w:rPr>
                <w:b/>
                <w:color w:val="0A2733"/>
                <w:sz w:val="19"/>
              </w:rPr>
              <w:t>Lopende maatregelen</w:t>
            </w:r>
          </w:p>
        </w:tc>
        <w:tc>
          <w:tcPr>
            <w:tcW w:type="dxa" w:w="5953"/>
          </w:tcPr>
          <w:p>
            <w:r>
              <w:rPr>
                <w:i/>
                <w:color w:val="6B7C85"/>
                <w:sz w:val="18"/>
              </w:rPr>
              <w:t>met eigenaren en datums</w:t>
            </w:r>
          </w:p>
        </w:tc>
      </w:tr>
    </w:tbl>
    <w:p>
      <w:r>
        <w:rPr>
          <w:b/>
          <w:color w:val="0A2733"/>
          <w:sz w:val="26"/>
        </w:rPr>
        <w:t>4. Grensoverschrijdende impact — art. 23, lid 4, onder d), iv)</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Grensoverschrijdende effecten, waar van toepassing</w:t>
            </w:r>
          </w:p>
        </w:tc>
        <w:tc>
          <w:tcPr>
            <w:tcW w:type="dxa" w:w="5953"/>
          </w:tcPr>
          <w:p>
            <w:r>
              <w:rPr>
                <w:i/>
                <w:color w:val="6B7C85"/>
                <w:sz w:val="18"/>
              </w:rPr>
              <w:t>geraakte lidstaten en categorieën entiteiten</w:t>
            </w:r>
          </w:p>
        </w:tc>
      </w:tr>
    </w:tbl>
    <w:p>
      <w:r>
        <w:rPr>
          <w:b/>
          <w:color w:val="0A2733"/>
          <w:sz w:val="26"/>
        </w:rPr>
        <w:t>5. Geleerde lessen (aanbevolen)</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Preventieve wijzigingen</w:t>
            </w:r>
          </w:p>
        </w:tc>
        <w:tc>
          <w:tcPr>
            <w:tcW w:type="dxa" w:w="5953"/>
          </w:tcPr>
          <w:p>
            <w:r>
              <w:rPr>
                <w:i/>
                <w:color w:val="6B7C85"/>
                <w:sz w:val="18"/>
              </w:rPr>
              <w:t>wijzigingen in beheersmaatregelen die doorwerken in uw risicobeheersmaatregelen van art. 21 en in uw ISMS</w:t>
            </w:r>
          </w:p>
        </w:tc>
      </w:tr>
      <w:tr>
        <w:tc>
          <w:tcPr>
            <w:tcW w:type="dxa" w:w="3685"/>
          </w:tcPr>
          <w:p>
            <w:r>
              <w:rPr>
                <w:b/>
                <w:color w:val="0A2733"/>
                <w:sz w:val="19"/>
              </w:rPr>
              <w:t>Evaluatie van het detectie- en meldproces</w:t>
            </w:r>
          </w:p>
        </w:tc>
        <w:tc>
          <w:tcPr>
            <w:tcW w:type="dxa" w:w="5953"/>
          </w:tcPr>
          <w:p>
            <w:r>
              <w:rPr>
                <w:i/>
                <w:color w:val="6B7C85"/>
                <w:sz w:val="18"/>
              </w:rPr>
              <w:t>zijn de klokken van 24 u en 72 u gehaald; wat moet er beter</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2B33"/>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